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8FD8" w14:textId="54830D86" w:rsidR="009B5385" w:rsidRDefault="00942712" w:rsidP="00586C6E">
      <w:pPr>
        <w:pStyle w:val="Heading1"/>
        <w:spacing w:line="240" w:lineRule="auto"/>
        <w:jc w:val="center"/>
        <w:rPr>
          <w:rFonts w:ascii="Tw Cen MT Condensed" w:hAnsi="Tw Cen MT Condensed"/>
          <w:sz w:val="44"/>
          <w:szCs w:val="44"/>
        </w:rPr>
      </w:pPr>
      <w:r w:rsidRPr="00726B8C">
        <w:rPr>
          <w:rFonts w:ascii="Tw Cen MT Condensed" w:hAnsi="Tw Cen MT Condensed"/>
          <w:sz w:val="44"/>
          <w:szCs w:val="44"/>
        </w:rPr>
        <w:t xml:space="preserve">Citizens Information Services (CIS) </w:t>
      </w:r>
      <w:r w:rsidR="009B5385">
        <w:rPr>
          <w:rFonts w:ascii="Tw Cen MT Condensed" w:hAnsi="Tw Cen MT Condensed"/>
          <w:sz w:val="44"/>
          <w:szCs w:val="44"/>
        </w:rPr>
        <w:t xml:space="preserve">- </w:t>
      </w:r>
      <w:r w:rsidRPr="00726B8C">
        <w:rPr>
          <w:rFonts w:ascii="Tw Cen MT Condensed" w:hAnsi="Tw Cen MT Condensed"/>
          <w:sz w:val="44"/>
          <w:szCs w:val="44"/>
        </w:rPr>
        <w:t>Caller/Query Data</w:t>
      </w:r>
    </w:p>
    <w:p w14:paraId="414C9287" w14:textId="170849C2" w:rsidR="004C75C2" w:rsidRPr="00726B8C" w:rsidRDefault="009B5385" w:rsidP="00586C6E">
      <w:pPr>
        <w:pStyle w:val="Heading1"/>
        <w:spacing w:before="0" w:line="240" w:lineRule="auto"/>
        <w:jc w:val="center"/>
        <w:rPr>
          <w:rFonts w:ascii="Tw Cen MT Condensed" w:hAnsi="Tw Cen MT Condensed"/>
          <w:sz w:val="44"/>
          <w:szCs w:val="44"/>
        </w:rPr>
      </w:pPr>
      <w:r>
        <w:rPr>
          <w:rFonts w:ascii="Tw Cen MT Condensed" w:hAnsi="Tw Cen MT Condensed"/>
          <w:sz w:val="44"/>
          <w:szCs w:val="44"/>
        </w:rPr>
        <w:t xml:space="preserve">Statistical Summary </w:t>
      </w:r>
      <w:r w:rsidR="004C75C2" w:rsidRPr="00726B8C">
        <w:rPr>
          <w:rFonts w:ascii="Tw Cen MT Condensed" w:hAnsi="Tw Cen MT Condensed"/>
          <w:sz w:val="44"/>
          <w:szCs w:val="44"/>
        </w:rPr>
        <w:t xml:space="preserve">Quarter </w:t>
      </w:r>
      <w:r w:rsidR="007F45EF">
        <w:rPr>
          <w:rFonts w:ascii="Tw Cen MT Condensed" w:hAnsi="Tw Cen MT Condensed"/>
          <w:sz w:val="44"/>
          <w:szCs w:val="44"/>
        </w:rPr>
        <w:t>4</w:t>
      </w:r>
      <w:r w:rsidR="004C75C2" w:rsidRPr="00726B8C">
        <w:rPr>
          <w:rFonts w:ascii="Tw Cen MT Condensed" w:hAnsi="Tw Cen MT Condensed"/>
          <w:sz w:val="44"/>
          <w:szCs w:val="44"/>
        </w:rPr>
        <w:t xml:space="preserve"> 202</w:t>
      </w:r>
      <w:r w:rsidR="008165FE" w:rsidRPr="00726B8C">
        <w:rPr>
          <w:rFonts w:ascii="Tw Cen MT Condensed" w:hAnsi="Tw Cen MT Condensed"/>
          <w:sz w:val="44"/>
          <w:szCs w:val="44"/>
        </w:rPr>
        <w:t>4</w:t>
      </w:r>
    </w:p>
    <w:p w14:paraId="20F14834" w14:textId="77777777" w:rsidR="00111E9A" w:rsidRDefault="00111E9A" w:rsidP="00586C6E">
      <w:pPr>
        <w:jc w:val="center"/>
      </w:pPr>
    </w:p>
    <w:p w14:paraId="3DBE9789" w14:textId="3FB514F1" w:rsidR="00942712" w:rsidRPr="007B1327" w:rsidRDefault="00942712" w:rsidP="007B1327">
      <w:pPr>
        <w:pStyle w:val="Heading1"/>
      </w:pPr>
      <w:r w:rsidRPr="007B1327">
        <w:t>Caller Summary</w:t>
      </w:r>
    </w:p>
    <w:p w14:paraId="6D1016CA" w14:textId="787E17D2" w:rsidR="00111E9A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726B8C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="00D24A03">
        <w:rPr>
          <w:rFonts w:ascii="Calibri" w:hAnsi="Calibri" w:cs="Calibri"/>
          <w:b/>
          <w:color w:val="auto"/>
          <w:sz w:val="22"/>
          <w:szCs w:val="22"/>
        </w:rPr>
        <w:t>88,104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callers to CISs nationally during Q</w:t>
      </w:r>
      <w:r w:rsidR="00D24A03">
        <w:rPr>
          <w:rFonts w:ascii="Calibri" w:hAnsi="Calibri" w:cs="Calibri"/>
          <w:color w:val="auto"/>
          <w:sz w:val="22"/>
          <w:szCs w:val="22"/>
        </w:rPr>
        <w:t>4</w:t>
      </w:r>
      <w:r w:rsidRPr="00726B8C">
        <w:rPr>
          <w:rFonts w:ascii="Calibri" w:hAnsi="Calibri" w:cs="Calibri"/>
          <w:color w:val="auto"/>
          <w:sz w:val="22"/>
          <w:szCs w:val="22"/>
        </w:rPr>
        <w:t>, 202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4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111E9A">
        <w:rPr>
          <w:rFonts w:ascii="Calibri" w:hAnsi="Calibri" w:cs="Calibri"/>
          <w:bCs/>
          <w:color w:val="auto"/>
          <w:sz w:val="22"/>
          <w:szCs w:val="22"/>
        </w:rPr>
        <w:t>a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 xml:space="preserve"> slight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>(</w:t>
      </w:r>
      <w:r w:rsidR="00D24A03">
        <w:rPr>
          <w:rFonts w:ascii="Calibri" w:hAnsi="Calibri" w:cs="Calibri"/>
          <w:bCs/>
          <w:color w:val="auto"/>
          <w:sz w:val="22"/>
          <w:szCs w:val="22"/>
        </w:rPr>
        <w:t>3.2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>%</w:t>
      </w:r>
      <w:r w:rsidR="00111E9A">
        <w:rPr>
          <w:rFonts w:ascii="Calibri" w:hAnsi="Calibri" w:cs="Calibri"/>
          <w:bCs/>
          <w:color w:val="auto"/>
          <w:sz w:val="22"/>
          <w:szCs w:val="22"/>
        </w:rPr>
        <w:t>)</w:t>
      </w:r>
      <w:r w:rsidRPr="00111E9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E6146" w:rsidRPr="00111E9A">
        <w:rPr>
          <w:rFonts w:ascii="Calibri" w:hAnsi="Calibri" w:cs="Calibri"/>
          <w:bCs/>
          <w:color w:val="auto"/>
          <w:sz w:val="22"/>
          <w:szCs w:val="22"/>
        </w:rPr>
        <w:t>decrease</w:t>
      </w:r>
      <w:r w:rsidR="006E6146" w:rsidRPr="00726B8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on </w:t>
      </w:r>
      <w:r w:rsidR="00111E9A">
        <w:rPr>
          <w:rFonts w:ascii="Calibri" w:hAnsi="Calibri" w:cs="Calibri"/>
          <w:color w:val="auto"/>
          <w:sz w:val="22"/>
          <w:szCs w:val="22"/>
        </w:rPr>
        <w:t>Q</w:t>
      </w:r>
      <w:r w:rsidR="00D24A03">
        <w:rPr>
          <w:rFonts w:ascii="Calibri" w:hAnsi="Calibri" w:cs="Calibri"/>
          <w:color w:val="auto"/>
          <w:sz w:val="22"/>
          <w:szCs w:val="22"/>
        </w:rPr>
        <w:t>4</w:t>
      </w:r>
      <w:r w:rsidR="00111E9A">
        <w:rPr>
          <w:rFonts w:ascii="Calibri" w:hAnsi="Calibri" w:cs="Calibri"/>
          <w:color w:val="auto"/>
          <w:sz w:val="22"/>
          <w:szCs w:val="22"/>
        </w:rPr>
        <w:t>,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3</w:t>
      </w:r>
      <w:r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1E9A">
        <w:rPr>
          <w:rFonts w:ascii="Calibri" w:hAnsi="Calibri" w:cs="Calibri"/>
          <w:color w:val="auto"/>
          <w:sz w:val="22"/>
          <w:szCs w:val="22"/>
        </w:rPr>
        <w:t>(</w:t>
      </w:r>
      <w:r w:rsidR="00D24A03">
        <w:rPr>
          <w:rFonts w:ascii="Calibri" w:hAnsi="Calibri" w:cs="Calibri"/>
          <w:color w:val="auto"/>
          <w:sz w:val="22"/>
          <w:szCs w:val="22"/>
        </w:rPr>
        <w:t>91,046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26B8C">
        <w:rPr>
          <w:rFonts w:ascii="Calibri" w:hAnsi="Calibri" w:cs="Calibri"/>
          <w:color w:val="auto"/>
          <w:sz w:val="22"/>
          <w:szCs w:val="22"/>
        </w:rPr>
        <w:t>callers</w:t>
      </w:r>
      <w:r w:rsidR="00111E9A">
        <w:rPr>
          <w:rFonts w:ascii="Calibri" w:hAnsi="Calibri" w:cs="Calibri"/>
          <w:color w:val="auto"/>
          <w:sz w:val="22"/>
          <w:szCs w:val="22"/>
        </w:rPr>
        <w:t>)</w:t>
      </w:r>
      <w:r w:rsidR="008F7776" w:rsidRPr="00726B8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6E6146" w:rsidRPr="00726B8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8BEAC2" w14:textId="77777777" w:rsidR="00111E9A" w:rsidRDefault="00111E9A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FA901F8" w14:textId="77777777" w:rsidR="00111E9A" w:rsidRPr="007B1327" w:rsidRDefault="00111E9A" w:rsidP="007B1327">
      <w:pPr>
        <w:pStyle w:val="Heading2"/>
      </w:pPr>
      <w:r w:rsidRPr="007B1327">
        <w:t>Gender Profile</w:t>
      </w:r>
    </w:p>
    <w:p w14:paraId="376A8BCF" w14:textId="407C89C0" w:rsidR="00C92219" w:rsidRPr="00C92219" w:rsidRDefault="00111E9A" w:rsidP="00C92219">
      <w:pPr>
        <w:pStyle w:val="Heading3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Female callers made up 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55.</w:t>
      </w:r>
      <w:r w:rsidR="00D24A03">
        <w:rPr>
          <w:rFonts w:ascii="Calibri" w:hAnsi="Calibri" w:cs="Calibri"/>
          <w:color w:val="auto"/>
          <w:sz w:val="22"/>
          <w:szCs w:val="22"/>
        </w:rPr>
        <w:t>1</w:t>
      </w:r>
      <w:r w:rsidR="008165FE" w:rsidRPr="00726B8C">
        <w:rPr>
          <w:rFonts w:ascii="Calibri" w:hAnsi="Calibri" w:cs="Calibri"/>
          <w:color w:val="auto"/>
          <w:sz w:val="22"/>
          <w:szCs w:val="22"/>
        </w:rPr>
        <w:t>% of callers</w:t>
      </w:r>
      <w:r w:rsidR="00A75978">
        <w:rPr>
          <w:rFonts w:ascii="Calibri" w:hAnsi="Calibri" w:cs="Calibri"/>
          <w:color w:val="auto"/>
          <w:sz w:val="22"/>
          <w:szCs w:val="22"/>
        </w:rPr>
        <w:t xml:space="preserve">, this is an ongoing trend of females making up the majority of callers. It has fallen only slightly since the introduction of </w:t>
      </w:r>
      <w:r w:rsidR="00A64886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A75978">
        <w:rPr>
          <w:rFonts w:ascii="Calibri" w:hAnsi="Calibri" w:cs="Calibri"/>
          <w:color w:val="auto"/>
          <w:sz w:val="22"/>
          <w:szCs w:val="22"/>
        </w:rPr>
        <w:t>couples/family members sub-category.</w:t>
      </w:r>
    </w:p>
    <w:p w14:paraId="59FA5133" w14:textId="1F865A0F" w:rsidR="00E67B39" w:rsidRPr="00214364" w:rsidRDefault="0094271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>Table 1 – Caller Gender Profile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2684"/>
        <w:gridCol w:w="2126"/>
        <w:gridCol w:w="2309"/>
        <w:gridCol w:w="2460"/>
      </w:tblGrid>
      <w:tr w:rsidR="00214364" w:rsidRPr="00104174" w14:paraId="55D5305E" w14:textId="77777777" w:rsidTr="00982CCA">
        <w:trPr>
          <w:trHeight w:val="323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1013705A" w14:textId="77777777" w:rsidR="00214364" w:rsidRPr="00926D56" w:rsidRDefault="00214364" w:rsidP="000430B2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Caller Profile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54C9F35A" w14:textId="77777777" w:rsidR="00214364" w:rsidRPr="00926D56" w:rsidRDefault="00214364" w:rsidP="00391A7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Number of Callers</w:t>
            </w:r>
          </w:p>
        </w:tc>
        <w:tc>
          <w:tcPr>
            <w:tcW w:w="230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6289A88C" w14:textId="77777777" w:rsidR="00214364" w:rsidRPr="00926D56" w:rsidRDefault="00214364" w:rsidP="00391A7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%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</w:tcPr>
          <w:p w14:paraId="5613EF6E" w14:textId="0AA58124" w:rsidR="00214364" w:rsidRPr="00926D56" w:rsidRDefault="00214364" w:rsidP="00982CC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>% Change Q</w:t>
            </w:r>
            <w:r w:rsidR="00D24A03" w:rsidRPr="001E60A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 xml:space="preserve"> ’23–Q</w:t>
            </w:r>
            <w:r w:rsidR="00D24A03" w:rsidRPr="001E60A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A6488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>‘24</w:t>
            </w:r>
          </w:p>
        </w:tc>
      </w:tr>
      <w:tr w:rsidR="00214364" w:rsidRPr="00104174" w14:paraId="12E48020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EAD6514" w14:textId="77777777" w:rsidR="00214364" w:rsidRPr="00926D56" w:rsidRDefault="00214364" w:rsidP="00CE6895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0D0BB5CB" w14:textId="600C4A2B" w:rsidR="00214364" w:rsidRPr="00A75978" w:rsidRDefault="00D24A03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48,522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1549D43C" w14:textId="79919103" w:rsidR="00214364" w:rsidRPr="00A75978" w:rsidRDefault="00214364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55.</w:t>
            </w:r>
            <w:r w:rsidR="00D24A03" w:rsidRPr="00A75978">
              <w:rPr>
                <w:sz w:val="20"/>
                <w:szCs w:val="20"/>
              </w:rPr>
              <w:t>1</w:t>
            </w:r>
            <w:r w:rsidRPr="00A75978">
              <w:rPr>
                <w:sz w:val="20"/>
                <w:szCs w:val="20"/>
              </w:rPr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C5FD112" w14:textId="52B8A729" w:rsidR="00214364" w:rsidRPr="00A75978" w:rsidRDefault="00214364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-</w:t>
            </w:r>
            <w:r w:rsidR="00D24A03" w:rsidRPr="00A75978">
              <w:rPr>
                <w:sz w:val="20"/>
                <w:szCs w:val="20"/>
              </w:rPr>
              <w:t>4.2</w:t>
            </w:r>
            <w:r w:rsidRPr="00A75978">
              <w:rPr>
                <w:sz w:val="20"/>
                <w:szCs w:val="20"/>
              </w:rPr>
              <w:t>%</w:t>
            </w:r>
          </w:p>
        </w:tc>
      </w:tr>
      <w:tr w:rsidR="00214364" w:rsidRPr="00104174" w14:paraId="38E51576" w14:textId="77777777" w:rsidTr="00A75978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3140445" w14:textId="77777777" w:rsidR="00214364" w:rsidRPr="00926D56" w:rsidRDefault="00214364" w:rsidP="00CE6895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11F4B132" w14:textId="4006D30E" w:rsidR="00214364" w:rsidRPr="00A75978" w:rsidRDefault="00D24A03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33,656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hideMark/>
          </w:tcPr>
          <w:p w14:paraId="733E94BE" w14:textId="65D0ADE1" w:rsidR="00214364" w:rsidRPr="00A75978" w:rsidRDefault="00214364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  <w:r w:rsidR="00D24A03" w:rsidRPr="00A75978">
              <w:rPr>
                <w:sz w:val="20"/>
                <w:szCs w:val="20"/>
              </w:rPr>
              <w:t>8.2</w:t>
            </w:r>
            <w:r w:rsidRPr="00A75978">
              <w:rPr>
                <w:sz w:val="20"/>
                <w:szCs w:val="20"/>
              </w:rPr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</w:tcPr>
          <w:p w14:paraId="42DD2519" w14:textId="77486D26" w:rsidR="00214364" w:rsidRPr="00A75978" w:rsidRDefault="00214364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-</w:t>
            </w:r>
            <w:r w:rsidR="00D24A03" w:rsidRPr="00A75978">
              <w:rPr>
                <w:sz w:val="20"/>
                <w:szCs w:val="20"/>
              </w:rPr>
              <w:t>3.1</w:t>
            </w:r>
            <w:r w:rsidRPr="00A75978">
              <w:rPr>
                <w:sz w:val="20"/>
                <w:szCs w:val="20"/>
              </w:rPr>
              <w:t>%</w:t>
            </w:r>
          </w:p>
        </w:tc>
      </w:tr>
      <w:tr w:rsidR="00214364" w:rsidRPr="00104174" w14:paraId="74A173D2" w14:textId="77777777" w:rsidTr="00982CCA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75207D" w14:textId="77777777" w:rsidR="00214364" w:rsidRPr="00926D56" w:rsidRDefault="00214364" w:rsidP="00CE6895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Couples/ Family Members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736C4654" w14:textId="2F474DBE" w:rsidR="00214364" w:rsidRPr="00A75978" w:rsidRDefault="00D24A03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5,181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1BD30C70" w14:textId="30E00126" w:rsidR="00214364" w:rsidRPr="00A75978" w:rsidRDefault="00D24A03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</w:t>
            </w:r>
            <w:r w:rsidR="00214364" w:rsidRPr="00A75978">
              <w:rPr>
                <w:sz w:val="20"/>
                <w:szCs w:val="20"/>
              </w:rPr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A90EB59" w14:textId="2D3FE4A5" w:rsidR="00214364" w:rsidRPr="00A75978" w:rsidRDefault="00214364" w:rsidP="00CE6895">
            <w:pPr>
              <w:spacing w:after="0" w:line="240" w:lineRule="auto"/>
              <w:jc w:val="center"/>
              <w:rPr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color w:val="2E653E" w:themeColor="accent5" w:themeShade="BF"/>
                <w:sz w:val="20"/>
                <w:szCs w:val="20"/>
              </w:rPr>
              <w:t>+</w:t>
            </w:r>
            <w:r w:rsidR="00D24A03" w:rsidRPr="00A75978">
              <w:rPr>
                <w:color w:val="2E653E" w:themeColor="accent5" w:themeShade="BF"/>
                <w:sz w:val="20"/>
                <w:szCs w:val="20"/>
              </w:rPr>
              <w:t>0.5</w:t>
            </w:r>
            <w:r w:rsidRPr="00A75978">
              <w:rPr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214364" w:rsidRPr="00104174" w14:paraId="2FBF25FC" w14:textId="77777777" w:rsidTr="00A75978">
        <w:trPr>
          <w:trHeight w:val="308"/>
        </w:trPr>
        <w:tc>
          <w:tcPr>
            <w:tcW w:w="26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E52BDC" w14:textId="77777777" w:rsidR="00214364" w:rsidRPr="00926D56" w:rsidRDefault="00214364" w:rsidP="00CE6895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22D07868" w14:textId="295EF3B6" w:rsidR="00214364" w:rsidRPr="00A75978" w:rsidRDefault="00D24A03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hideMark/>
          </w:tcPr>
          <w:p w14:paraId="32A7ED66" w14:textId="4B1127B1" w:rsidR="00214364" w:rsidRPr="00A75978" w:rsidRDefault="00214364" w:rsidP="00CE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</w:t>
            </w:r>
            <w:r w:rsidR="00D24A03" w:rsidRPr="00A75978">
              <w:rPr>
                <w:sz w:val="20"/>
                <w:szCs w:val="20"/>
              </w:rPr>
              <w:t>9</w:t>
            </w:r>
            <w:r w:rsidRPr="00A75978">
              <w:rPr>
                <w:sz w:val="20"/>
                <w:szCs w:val="20"/>
              </w:rPr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</w:tcPr>
          <w:p w14:paraId="6F4B1DB2" w14:textId="1C5280E7" w:rsidR="00214364" w:rsidRPr="00A75978" w:rsidRDefault="00214364" w:rsidP="00CE6895">
            <w:pPr>
              <w:spacing w:after="0" w:line="240" w:lineRule="auto"/>
              <w:jc w:val="center"/>
              <w:rPr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color w:val="2E653E" w:themeColor="accent5" w:themeShade="BF"/>
                <w:sz w:val="20"/>
                <w:szCs w:val="20"/>
              </w:rPr>
              <w:t>+</w:t>
            </w:r>
            <w:r w:rsidR="00D24A03" w:rsidRPr="00A75978">
              <w:rPr>
                <w:color w:val="2E653E" w:themeColor="accent5" w:themeShade="BF"/>
                <w:sz w:val="20"/>
                <w:szCs w:val="20"/>
              </w:rPr>
              <w:t>43.3</w:t>
            </w:r>
            <w:r w:rsidRPr="00A75978">
              <w:rPr>
                <w:color w:val="2E653E" w:themeColor="accent5" w:themeShade="BF"/>
                <w:sz w:val="20"/>
                <w:szCs w:val="20"/>
              </w:rPr>
              <w:t>%</w:t>
            </w:r>
          </w:p>
        </w:tc>
      </w:tr>
    </w:tbl>
    <w:p w14:paraId="404AC925" w14:textId="77777777" w:rsidR="00214364" w:rsidRDefault="00214364" w:rsidP="00214364"/>
    <w:p w14:paraId="4A9BF7A1" w14:textId="5D3AFFAE" w:rsidR="007B1327" w:rsidRPr="007B1327" w:rsidRDefault="007B1327" w:rsidP="007B1327">
      <w:pPr>
        <w:pStyle w:val="Heading2"/>
      </w:pPr>
      <w:r w:rsidRPr="007B1327">
        <w:t>Age Profile</w:t>
      </w:r>
    </w:p>
    <w:p w14:paraId="50CEBF75" w14:textId="79A9D0B0" w:rsidR="00942712" w:rsidRPr="001E60A9" w:rsidRDefault="00B828DA" w:rsidP="007B1327">
      <w:pPr>
        <w:rPr>
          <w:strike/>
          <w:color w:val="FF0000"/>
          <w:sz w:val="22"/>
          <w:szCs w:val="22"/>
        </w:rPr>
      </w:pPr>
      <w:r w:rsidRPr="007B1327">
        <w:rPr>
          <w:sz w:val="22"/>
          <w:szCs w:val="22"/>
        </w:rPr>
        <w:t xml:space="preserve">Age was recorded for </w:t>
      </w:r>
      <w:r w:rsidR="00312A69" w:rsidRPr="007B1327">
        <w:rPr>
          <w:sz w:val="22"/>
          <w:szCs w:val="22"/>
        </w:rPr>
        <w:t>69.</w:t>
      </w:r>
      <w:r w:rsidR="00D24A03">
        <w:rPr>
          <w:sz w:val="22"/>
          <w:szCs w:val="22"/>
        </w:rPr>
        <w:t>6</w:t>
      </w:r>
      <w:r w:rsidR="00B94214" w:rsidRPr="007B1327">
        <w:rPr>
          <w:sz w:val="22"/>
          <w:szCs w:val="22"/>
        </w:rPr>
        <w:t xml:space="preserve">% </w:t>
      </w:r>
      <w:r w:rsidR="007B1327" w:rsidRPr="007B1327">
        <w:rPr>
          <w:sz w:val="22"/>
          <w:szCs w:val="22"/>
        </w:rPr>
        <w:t>(</w:t>
      </w:r>
      <w:r w:rsidR="00D24A03">
        <w:rPr>
          <w:sz w:val="22"/>
          <w:szCs w:val="22"/>
        </w:rPr>
        <w:t>61,300</w:t>
      </w:r>
      <w:r w:rsidR="007B1327" w:rsidRPr="007B1327">
        <w:rPr>
          <w:sz w:val="22"/>
          <w:szCs w:val="22"/>
        </w:rPr>
        <w:t xml:space="preserve">) </w:t>
      </w:r>
      <w:r w:rsidR="00B94214" w:rsidRPr="007B1327">
        <w:rPr>
          <w:sz w:val="22"/>
          <w:szCs w:val="22"/>
        </w:rPr>
        <w:t>of callers.</w:t>
      </w:r>
      <w:r w:rsidR="002454FF" w:rsidRPr="007B1327">
        <w:rPr>
          <w:sz w:val="22"/>
          <w:szCs w:val="22"/>
        </w:rPr>
        <w:t xml:space="preserve"> </w:t>
      </w:r>
      <w:r w:rsidR="007B1327" w:rsidRPr="007B1327">
        <w:rPr>
          <w:sz w:val="22"/>
          <w:szCs w:val="22"/>
        </w:rPr>
        <w:t xml:space="preserve">People aged </w:t>
      </w:r>
      <w:r w:rsidR="00D24A03">
        <w:rPr>
          <w:sz w:val="22"/>
          <w:szCs w:val="22"/>
        </w:rPr>
        <w:t>46-65</w:t>
      </w:r>
      <w:r w:rsidR="005C1732" w:rsidRPr="007B1327">
        <w:rPr>
          <w:sz w:val="22"/>
          <w:szCs w:val="22"/>
        </w:rPr>
        <w:t xml:space="preserve"> contacted CISs most frequently</w:t>
      </w:r>
      <w:r w:rsidR="0076530D" w:rsidRPr="007B1327">
        <w:rPr>
          <w:sz w:val="22"/>
          <w:szCs w:val="22"/>
        </w:rPr>
        <w:t xml:space="preserve">, closely followed by </w:t>
      </w:r>
      <w:r w:rsidR="007B1327" w:rsidRPr="007B1327">
        <w:rPr>
          <w:sz w:val="22"/>
          <w:szCs w:val="22"/>
        </w:rPr>
        <w:t>people aged</w:t>
      </w:r>
      <w:r w:rsidR="0076530D" w:rsidRPr="007B1327">
        <w:rPr>
          <w:sz w:val="22"/>
          <w:szCs w:val="22"/>
        </w:rPr>
        <w:t xml:space="preserve"> </w:t>
      </w:r>
      <w:r w:rsidR="00D24A03">
        <w:rPr>
          <w:sz w:val="22"/>
          <w:szCs w:val="22"/>
        </w:rPr>
        <w:t>26-45</w:t>
      </w:r>
      <w:r w:rsidR="0076530D" w:rsidRPr="007B1327">
        <w:rPr>
          <w:sz w:val="22"/>
          <w:szCs w:val="22"/>
        </w:rPr>
        <w:t>.</w:t>
      </w:r>
      <w:r w:rsidR="00D24A03">
        <w:rPr>
          <w:sz w:val="22"/>
          <w:szCs w:val="22"/>
        </w:rPr>
        <w:t xml:space="preserve"> </w:t>
      </w:r>
    </w:p>
    <w:p w14:paraId="6F93AF4B" w14:textId="0374E0C5" w:rsidR="00E67B39" w:rsidRPr="00816688" w:rsidRDefault="0094271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 xml:space="preserve">Table 2 – Caller Age Profile </w:t>
      </w:r>
    </w:p>
    <w:tbl>
      <w:tblPr>
        <w:tblW w:w="9595" w:type="dxa"/>
        <w:tblInd w:w="-10" w:type="dxa"/>
        <w:tblLook w:val="04A0" w:firstRow="1" w:lastRow="0" w:firstColumn="1" w:lastColumn="0" w:noHBand="0" w:noVBand="1"/>
      </w:tblPr>
      <w:tblGrid>
        <w:gridCol w:w="2427"/>
        <w:gridCol w:w="2228"/>
        <w:gridCol w:w="2470"/>
        <w:gridCol w:w="2470"/>
      </w:tblGrid>
      <w:tr w:rsidR="00816688" w:rsidRPr="00104174" w14:paraId="559BE202" w14:textId="77777777" w:rsidTr="00407A25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hideMark/>
          </w:tcPr>
          <w:p w14:paraId="53589032" w14:textId="77777777" w:rsidR="00816688" w:rsidRPr="00926D56" w:rsidRDefault="00816688" w:rsidP="00391A7E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hideMark/>
          </w:tcPr>
          <w:p w14:paraId="37B932CA" w14:textId="77777777" w:rsidR="00816688" w:rsidRPr="00926D56" w:rsidRDefault="00816688" w:rsidP="00407A2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56DE3883" w14:textId="77777777" w:rsidR="00816688" w:rsidRPr="00926D56" w:rsidRDefault="00816688" w:rsidP="00407A2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%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62A39F"/>
          </w:tcPr>
          <w:p w14:paraId="262ADE38" w14:textId="449197AF" w:rsidR="00816688" w:rsidRPr="00926D56" w:rsidRDefault="00407A25" w:rsidP="00407A2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% Change Q</w:t>
            </w:r>
            <w:r w:rsidR="00D24A03" w:rsidRPr="00926D5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 xml:space="preserve"> ’23–Q</w:t>
            </w:r>
            <w:r w:rsidR="00D24A03" w:rsidRPr="00926D5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 xml:space="preserve"> ‘24</w:t>
            </w:r>
          </w:p>
        </w:tc>
      </w:tr>
      <w:tr w:rsidR="00816688" w:rsidRPr="00104174" w14:paraId="6D9D243A" w14:textId="77777777" w:rsidTr="00407A25">
        <w:trPr>
          <w:trHeight w:val="4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583A547F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50C869F2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9552A4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</w:tcPr>
          <w:p w14:paraId="02901C5F" w14:textId="77777777" w:rsidR="00816688" w:rsidRPr="00104174" w:rsidRDefault="00816688" w:rsidP="00CF0269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</w:p>
        </w:tc>
      </w:tr>
      <w:tr w:rsidR="00816688" w:rsidRPr="00104174" w14:paraId="0F13E864" w14:textId="77777777" w:rsidTr="00CF026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083BC5C" w14:textId="5566BDE6" w:rsidR="00816688" w:rsidRPr="00926D56" w:rsidRDefault="002F1CAA" w:rsidP="00CF0269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18DDE692" w14:textId="66377988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  <w:r w:rsidR="002F1CAA" w:rsidRPr="00A75978">
              <w:rPr>
                <w:sz w:val="20"/>
                <w:szCs w:val="20"/>
              </w:rPr>
              <w:t>3,501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13E33E04" w14:textId="32BFD5F7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38.3</w:t>
            </w:r>
            <w:r w:rsidR="00816688" w:rsidRPr="00A75978">
              <w:rPr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0FCEE42A" w14:textId="40E81BDA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-</w:t>
            </w:r>
            <w:r w:rsidR="002F1CAA" w:rsidRPr="00A75978">
              <w:rPr>
                <w:sz w:val="20"/>
                <w:szCs w:val="20"/>
              </w:rPr>
              <w:t>1.4</w:t>
            </w:r>
            <w:r w:rsidRPr="00A75978">
              <w:rPr>
                <w:sz w:val="20"/>
                <w:szCs w:val="20"/>
              </w:rPr>
              <w:t>%</w:t>
            </w:r>
          </w:p>
        </w:tc>
      </w:tr>
      <w:tr w:rsidR="00816688" w:rsidRPr="00104174" w14:paraId="14B1A504" w14:textId="77777777" w:rsidTr="00A75978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C70299" w14:textId="74EF3BDC" w:rsidR="00816688" w:rsidRPr="00926D56" w:rsidRDefault="002F1CAA" w:rsidP="00CF0269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32BB58E3" w14:textId="39A41AB0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  <w:r w:rsidR="002F1CAA" w:rsidRPr="00A75978">
              <w:rPr>
                <w:sz w:val="20"/>
                <w:szCs w:val="20"/>
              </w:rPr>
              <w:t>2,035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bottom"/>
            <w:hideMark/>
          </w:tcPr>
          <w:p w14:paraId="584DC3DF" w14:textId="74266C03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  <w:r w:rsidR="002F1CAA" w:rsidRPr="00A75978">
              <w:rPr>
                <w:sz w:val="20"/>
                <w:szCs w:val="20"/>
              </w:rPr>
              <w:t>6.0</w:t>
            </w:r>
            <w:r w:rsidRPr="00A75978">
              <w:rPr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</w:tcPr>
          <w:p w14:paraId="3A601FD3" w14:textId="0527AA9E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-7.0</w:t>
            </w:r>
            <w:r w:rsidR="00816688" w:rsidRPr="00A75978">
              <w:rPr>
                <w:sz w:val="20"/>
                <w:szCs w:val="20"/>
              </w:rPr>
              <w:t>%</w:t>
            </w:r>
          </w:p>
        </w:tc>
      </w:tr>
      <w:tr w:rsidR="00816688" w:rsidRPr="00104174" w14:paraId="0FADF27C" w14:textId="77777777" w:rsidTr="00CF0269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E14493D" w14:textId="5A6D3CD7" w:rsidR="00816688" w:rsidRPr="00926D56" w:rsidRDefault="00816688" w:rsidP="00CF0269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 xml:space="preserve">66 and </w:t>
            </w:r>
            <w:r w:rsidR="00860A5D" w:rsidRPr="00926D56">
              <w:rPr>
                <w:b/>
                <w:bCs/>
                <w:color w:val="000000" w:themeColor="text1"/>
                <w:sz w:val="22"/>
                <w:szCs w:val="22"/>
              </w:rPr>
              <w:t>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6B4AB19A" w14:textId="1D020639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  <w:r w:rsidR="002F1CAA" w:rsidRPr="00A75978">
              <w:rPr>
                <w:sz w:val="20"/>
                <w:szCs w:val="20"/>
              </w:rPr>
              <w:t>2,950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bottom"/>
            <w:hideMark/>
          </w:tcPr>
          <w:p w14:paraId="2B8C584F" w14:textId="273BE2A6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</w:t>
            </w:r>
            <w:r w:rsidR="00816688" w:rsidRPr="00A75978">
              <w:rPr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</w:tcPr>
          <w:p w14:paraId="42248FD0" w14:textId="1F02A558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-1.9</w:t>
            </w:r>
            <w:r w:rsidR="00816688" w:rsidRPr="00A75978">
              <w:rPr>
                <w:sz w:val="20"/>
                <w:szCs w:val="20"/>
              </w:rPr>
              <w:t>%</w:t>
            </w:r>
          </w:p>
        </w:tc>
      </w:tr>
      <w:tr w:rsidR="00816688" w:rsidRPr="00104174" w14:paraId="4949EAC0" w14:textId="77777777" w:rsidTr="00A75978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3C434F" w14:textId="1803321A" w:rsidR="00816688" w:rsidRPr="00926D56" w:rsidRDefault="00816688" w:rsidP="00CF0269">
            <w:pPr>
              <w:spacing w:after="0" w:line="24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D56">
              <w:rPr>
                <w:b/>
                <w:bCs/>
                <w:color w:val="000000" w:themeColor="text1"/>
                <w:sz w:val="22"/>
                <w:szCs w:val="22"/>
              </w:rPr>
              <w:t xml:space="preserve">25 and </w:t>
            </w:r>
            <w:r w:rsidR="00860A5D" w:rsidRPr="00926D56">
              <w:rPr>
                <w:b/>
                <w:bCs/>
                <w:color w:val="000000" w:themeColor="text1"/>
                <w:sz w:val="22"/>
                <w:szCs w:val="22"/>
              </w:rPr>
              <w:t>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bottom"/>
            <w:hideMark/>
          </w:tcPr>
          <w:p w14:paraId="65EEF361" w14:textId="48787E89" w:rsidR="00816688" w:rsidRPr="00A75978" w:rsidRDefault="00816688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2,</w:t>
            </w:r>
            <w:r w:rsidR="002F1CAA" w:rsidRPr="00A75978">
              <w:rPr>
                <w:sz w:val="20"/>
                <w:szCs w:val="20"/>
              </w:rPr>
              <w:t>814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bottom"/>
            <w:hideMark/>
          </w:tcPr>
          <w:p w14:paraId="1AFBCD99" w14:textId="0323C217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4.6</w:t>
            </w:r>
            <w:r w:rsidR="00816688" w:rsidRPr="00A75978">
              <w:rPr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</w:tcPr>
          <w:p w14:paraId="490B15A3" w14:textId="6B93D6C9" w:rsidR="00816688" w:rsidRPr="00A75978" w:rsidRDefault="002F1CAA" w:rsidP="00CF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5978">
              <w:rPr>
                <w:color w:val="2E653E" w:themeColor="accent5" w:themeShade="BF"/>
                <w:sz w:val="20"/>
                <w:szCs w:val="20"/>
              </w:rPr>
              <w:t>+55.5</w:t>
            </w:r>
            <w:r w:rsidR="00816688" w:rsidRPr="00A75978">
              <w:rPr>
                <w:color w:val="2E653E" w:themeColor="accent5" w:themeShade="BF"/>
                <w:sz w:val="20"/>
                <w:szCs w:val="20"/>
              </w:rPr>
              <w:t>%</w:t>
            </w:r>
          </w:p>
        </w:tc>
      </w:tr>
    </w:tbl>
    <w:p w14:paraId="11F7327D" w14:textId="77777777" w:rsidR="00816688" w:rsidRPr="00726B8C" w:rsidRDefault="00816688" w:rsidP="00942712">
      <w:pPr>
        <w:jc w:val="both"/>
        <w:rPr>
          <w:sz w:val="22"/>
          <w:szCs w:val="22"/>
        </w:rPr>
      </w:pPr>
    </w:p>
    <w:p w14:paraId="384356F2" w14:textId="7A6D3004" w:rsidR="007B1327" w:rsidRPr="007B1327" w:rsidRDefault="007B1327" w:rsidP="007B1327">
      <w:pPr>
        <w:pStyle w:val="Heading2"/>
      </w:pPr>
      <w:r w:rsidRPr="007B1327">
        <w:t>Mode of contact</w:t>
      </w:r>
    </w:p>
    <w:p w14:paraId="50476593" w14:textId="3BD606EE" w:rsidR="007B1327" w:rsidRPr="00290362" w:rsidRDefault="00B20AA1" w:rsidP="002903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In-person </w:t>
      </w:r>
      <w:r w:rsidR="00E04CE2">
        <w:rPr>
          <w:sz w:val="22"/>
          <w:szCs w:val="22"/>
        </w:rPr>
        <w:t xml:space="preserve">(personal) </w:t>
      </w:r>
      <w:r>
        <w:rPr>
          <w:sz w:val="22"/>
          <w:szCs w:val="22"/>
        </w:rPr>
        <w:t xml:space="preserve">callers accounted for </w:t>
      </w:r>
      <w:r w:rsidR="00181434" w:rsidRPr="00726B8C">
        <w:rPr>
          <w:sz w:val="22"/>
          <w:szCs w:val="22"/>
        </w:rPr>
        <w:t>67.</w:t>
      </w:r>
      <w:r w:rsidR="002F1CAA">
        <w:rPr>
          <w:sz w:val="22"/>
          <w:szCs w:val="22"/>
        </w:rPr>
        <w:t>9</w:t>
      </w:r>
      <w:r w:rsidR="00181434" w:rsidRPr="00726B8C">
        <w:rPr>
          <w:sz w:val="22"/>
          <w:szCs w:val="22"/>
        </w:rPr>
        <w:t xml:space="preserve">% of </w:t>
      </w:r>
      <w:r>
        <w:rPr>
          <w:sz w:val="22"/>
          <w:szCs w:val="22"/>
        </w:rPr>
        <w:t>interactions</w:t>
      </w:r>
      <w:r w:rsidR="00B60996" w:rsidRPr="00726B8C">
        <w:rPr>
          <w:sz w:val="22"/>
          <w:szCs w:val="22"/>
        </w:rPr>
        <w:t xml:space="preserve">, of </w:t>
      </w:r>
      <w:r>
        <w:rPr>
          <w:sz w:val="22"/>
          <w:szCs w:val="22"/>
        </w:rPr>
        <w:t>which</w:t>
      </w:r>
      <w:r w:rsidRPr="00726B8C">
        <w:rPr>
          <w:sz w:val="22"/>
          <w:szCs w:val="22"/>
        </w:rPr>
        <w:t xml:space="preserve"> </w:t>
      </w:r>
      <w:r w:rsidR="008B7ED2" w:rsidRPr="00726B8C">
        <w:rPr>
          <w:sz w:val="22"/>
          <w:szCs w:val="22"/>
        </w:rPr>
        <w:t>93.</w:t>
      </w:r>
      <w:r w:rsidR="002F1CAA">
        <w:rPr>
          <w:sz w:val="22"/>
          <w:szCs w:val="22"/>
        </w:rPr>
        <w:t>0</w:t>
      </w:r>
      <w:r w:rsidR="008B7ED2" w:rsidRPr="00726B8C">
        <w:rPr>
          <w:sz w:val="22"/>
          <w:szCs w:val="22"/>
        </w:rPr>
        <w:t xml:space="preserve">% were </w:t>
      </w:r>
      <w:r>
        <w:rPr>
          <w:sz w:val="22"/>
          <w:szCs w:val="22"/>
        </w:rPr>
        <w:t>d</w:t>
      </w:r>
      <w:r w:rsidRPr="00726B8C">
        <w:rPr>
          <w:sz w:val="22"/>
          <w:szCs w:val="22"/>
        </w:rPr>
        <w:t>rop</w:t>
      </w:r>
      <w:r w:rsidR="008B7ED2" w:rsidRPr="00726B8C">
        <w:rPr>
          <w:sz w:val="22"/>
          <w:szCs w:val="22"/>
        </w:rPr>
        <w:t>-in (</w:t>
      </w:r>
      <w:r w:rsidR="002F1CAA">
        <w:rPr>
          <w:sz w:val="22"/>
          <w:szCs w:val="22"/>
        </w:rPr>
        <w:t>55,657</w:t>
      </w:r>
      <w:r w:rsidR="008B7ED2" w:rsidRPr="00726B8C">
        <w:rPr>
          <w:sz w:val="22"/>
          <w:szCs w:val="22"/>
        </w:rPr>
        <w:t xml:space="preserve"> callers)</w:t>
      </w:r>
      <w:r>
        <w:rPr>
          <w:sz w:val="22"/>
          <w:szCs w:val="22"/>
        </w:rPr>
        <w:t xml:space="preserve"> and</w:t>
      </w:r>
      <w:r w:rsidR="008B7ED2" w:rsidRPr="00726B8C">
        <w:rPr>
          <w:sz w:val="22"/>
          <w:szCs w:val="22"/>
        </w:rPr>
        <w:t xml:space="preserve"> </w:t>
      </w:r>
      <w:r w:rsidR="002F1CAA">
        <w:rPr>
          <w:sz w:val="22"/>
          <w:szCs w:val="22"/>
        </w:rPr>
        <w:t>7.0</w:t>
      </w:r>
      <w:r w:rsidR="00B001E5" w:rsidRPr="00726B8C">
        <w:rPr>
          <w:sz w:val="22"/>
          <w:szCs w:val="22"/>
        </w:rPr>
        <w:t xml:space="preserve">% were by </w:t>
      </w:r>
      <w:r>
        <w:rPr>
          <w:sz w:val="22"/>
          <w:szCs w:val="22"/>
        </w:rPr>
        <w:t>a</w:t>
      </w:r>
      <w:r w:rsidRPr="00726B8C">
        <w:rPr>
          <w:sz w:val="22"/>
          <w:szCs w:val="22"/>
        </w:rPr>
        <w:t xml:space="preserve">ppointment </w:t>
      </w:r>
      <w:r w:rsidR="00B001E5" w:rsidRPr="00726B8C">
        <w:rPr>
          <w:sz w:val="22"/>
          <w:szCs w:val="22"/>
        </w:rPr>
        <w:t>(4,</w:t>
      </w:r>
      <w:r w:rsidR="002F1CAA">
        <w:rPr>
          <w:sz w:val="22"/>
          <w:szCs w:val="22"/>
        </w:rPr>
        <w:t>161</w:t>
      </w:r>
      <w:r w:rsidR="00B001E5" w:rsidRPr="00726B8C">
        <w:rPr>
          <w:sz w:val="22"/>
          <w:szCs w:val="22"/>
        </w:rPr>
        <w:t xml:space="preserve"> callers).</w:t>
      </w:r>
      <w:r w:rsidR="00601B72" w:rsidRPr="00726B8C">
        <w:rPr>
          <w:sz w:val="22"/>
          <w:szCs w:val="22"/>
        </w:rPr>
        <w:t xml:space="preserve"> </w:t>
      </w:r>
    </w:p>
    <w:p w14:paraId="3295355D" w14:textId="44149E6A" w:rsidR="00942712" w:rsidRPr="00C92219" w:rsidRDefault="00942712" w:rsidP="00C92219">
      <w:pPr>
        <w:pStyle w:val="Heading3"/>
        <w:rPr>
          <w:rFonts w:eastAsia="Times New Roman"/>
          <w:color w:val="1481AB" w:themeColor="accent1" w:themeShade="BF"/>
          <w:lang w:eastAsia="en-IE"/>
        </w:rPr>
      </w:pPr>
      <w:r w:rsidRPr="00726B8C">
        <w:rPr>
          <w:rFonts w:eastAsia="Times New Roman"/>
          <w:lang w:eastAsia="en-IE"/>
        </w:rPr>
        <w:t xml:space="preserve">Table 3 – Caller Mode of Contact </w:t>
      </w:r>
    </w:p>
    <w:tbl>
      <w:tblPr>
        <w:tblStyle w:val="GridTable5Dark-Accent6"/>
        <w:tblW w:w="9607" w:type="dxa"/>
        <w:tblLook w:val="04A0" w:firstRow="1" w:lastRow="0" w:firstColumn="1" w:lastColumn="0" w:noHBand="0" w:noVBand="1"/>
      </w:tblPr>
      <w:tblGrid>
        <w:gridCol w:w="2029"/>
        <w:gridCol w:w="2640"/>
        <w:gridCol w:w="2481"/>
        <w:gridCol w:w="2457"/>
      </w:tblGrid>
      <w:tr w:rsidR="00BA6D11" w:rsidRPr="00BA6D11" w14:paraId="71EB8EED" w14:textId="77777777" w:rsidTr="00CF0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3CFF10D4" w14:textId="77777777" w:rsidR="00816688" w:rsidRPr="00A75978" w:rsidRDefault="00816688" w:rsidP="00A75978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20357B12" w14:textId="77777777" w:rsidR="00816688" w:rsidRPr="00A75978" w:rsidRDefault="00816688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3EBF2427" w14:textId="77777777" w:rsidR="00816688" w:rsidRPr="00A75978" w:rsidRDefault="00816688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of Callers</w:t>
            </w:r>
          </w:p>
        </w:tc>
        <w:tc>
          <w:tcPr>
            <w:tcW w:w="2457" w:type="dxa"/>
          </w:tcPr>
          <w:p w14:paraId="45DAB200" w14:textId="0A522284" w:rsidR="00816688" w:rsidRPr="00A75978" w:rsidRDefault="00816688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Change Q</w:t>
            </w:r>
            <w:r w:rsidR="002F1CAA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Pr="00A75978">
              <w:rPr>
                <w:rFonts w:ascii="Calibri" w:hAnsi="Calibri" w:cs="Calibri"/>
                <w:color w:val="000000" w:themeColor="text1"/>
              </w:rPr>
              <w:t xml:space="preserve"> ’23–Q</w:t>
            </w:r>
            <w:r w:rsidR="002F1CAA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Pr="00A75978">
              <w:rPr>
                <w:rFonts w:ascii="Calibri" w:hAnsi="Calibri" w:cs="Calibri"/>
                <w:color w:val="000000" w:themeColor="text1"/>
              </w:rPr>
              <w:t xml:space="preserve"> ‘24</w:t>
            </w:r>
          </w:p>
        </w:tc>
      </w:tr>
      <w:tr w:rsidR="00816688" w:rsidRPr="00816688" w14:paraId="4C597F5E" w14:textId="77777777" w:rsidTr="00407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4D70DA2" w14:textId="6F06AE69" w:rsidR="00816688" w:rsidRPr="00A75978" w:rsidRDefault="00586C6E" w:rsidP="0081668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5978">
              <w:rPr>
                <w:rFonts w:ascii="Calibri" w:eastAsia="Times New Roman" w:hAnsi="Calibri" w:cs="Calibri"/>
                <w:color w:val="000000"/>
                <w:lang w:eastAsia="en-IE"/>
              </w:rPr>
              <w:t>In-person</w:t>
            </w:r>
          </w:p>
        </w:tc>
        <w:tc>
          <w:tcPr>
            <w:tcW w:w="2640" w:type="dxa"/>
            <w:noWrap/>
            <w:hideMark/>
          </w:tcPr>
          <w:p w14:paraId="793303A6" w14:textId="3C42A0A2" w:rsidR="00816688" w:rsidRPr="00A75978" w:rsidRDefault="002F1CAA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59,818</w:t>
            </w:r>
          </w:p>
        </w:tc>
        <w:tc>
          <w:tcPr>
            <w:tcW w:w="2481" w:type="dxa"/>
            <w:noWrap/>
            <w:hideMark/>
          </w:tcPr>
          <w:p w14:paraId="351FE4A0" w14:textId="1A149F9B" w:rsidR="00816688" w:rsidRPr="00A7597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2F1CAA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.9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57" w:type="dxa"/>
          </w:tcPr>
          <w:p w14:paraId="2392A891" w14:textId="5EF5C3A9" w:rsidR="00816688" w:rsidRPr="00A7597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CD46B1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5.1</w:t>
            </w: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816688" w:rsidRPr="00816688" w14:paraId="3D97209A" w14:textId="77777777" w:rsidTr="00407A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</w:tcPr>
          <w:p w14:paraId="207817EF" w14:textId="77777777" w:rsidR="00816688" w:rsidRPr="00A75978" w:rsidRDefault="00816688" w:rsidP="0081668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5978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</w:tcPr>
          <w:p w14:paraId="3A3AFD0C" w14:textId="5B06305B" w:rsidR="00816688" w:rsidRPr="00A75978" w:rsidRDefault="002F1CAA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25,858</w:t>
            </w:r>
          </w:p>
        </w:tc>
        <w:tc>
          <w:tcPr>
            <w:tcW w:w="2481" w:type="dxa"/>
            <w:noWrap/>
          </w:tcPr>
          <w:p w14:paraId="040A8B4E" w14:textId="4466A5AB" w:rsidR="00816688" w:rsidRPr="00A75978" w:rsidRDefault="00816688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  <w:r w:rsidR="002F1CAA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57" w:type="dxa"/>
          </w:tcPr>
          <w:p w14:paraId="238EEFED" w14:textId="4BE3FBF2" w:rsidR="00816688" w:rsidRPr="00A75978" w:rsidRDefault="00816688" w:rsidP="00816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-1</w:t>
            </w:r>
            <w:r w:rsidR="00CD46B1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8.5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816688" w:rsidRPr="00816688" w14:paraId="764F89A9" w14:textId="77777777" w:rsidTr="00407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69CA950D" w14:textId="77777777" w:rsidR="00816688" w:rsidRPr="00A75978" w:rsidRDefault="00816688" w:rsidP="00816688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75978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1BC4FD26" w14:textId="2315BF24" w:rsidR="00816688" w:rsidRPr="00A7597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2,</w:t>
            </w:r>
            <w:r w:rsidR="002F1CAA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481" w:type="dxa"/>
            <w:noWrap/>
            <w:hideMark/>
          </w:tcPr>
          <w:p w14:paraId="6F306415" w14:textId="3FCD150C" w:rsidR="00816688" w:rsidRPr="00A75978" w:rsidRDefault="00816688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2F1CAA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57" w:type="dxa"/>
          </w:tcPr>
          <w:p w14:paraId="2E7C6C32" w14:textId="26147E99" w:rsidR="00816688" w:rsidRPr="00A75978" w:rsidRDefault="00CD46B1" w:rsidP="00816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+0.5</w:t>
            </w:r>
            <w:r w:rsidR="00816688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</w:tbl>
    <w:p w14:paraId="494FC1CB" w14:textId="77777777" w:rsidR="00214364" w:rsidRPr="00726B8C" w:rsidRDefault="00214364" w:rsidP="00942712">
      <w:pPr>
        <w:rPr>
          <w:rFonts w:asciiTheme="minorHAnsi" w:hAnsiTheme="minorHAnsi" w:cstheme="minorHAnsi"/>
          <w:sz w:val="22"/>
          <w:szCs w:val="22"/>
        </w:rPr>
      </w:pPr>
    </w:p>
    <w:p w14:paraId="5932CF45" w14:textId="77777777" w:rsidR="00030DE2" w:rsidRPr="00726B8C" w:rsidRDefault="00030DE2" w:rsidP="007B1327">
      <w:pPr>
        <w:pStyle w:val="Heading2"/>
      </w:pPr>
      <w:r w:rsidRPr="00726B8C">
        <w:t xml:space="preserve">Country of Origin </w:t>
      </w:r>
    </w:p>
    <w:p w14:paraId="2ED6934F" w14:textId="5912291D" w:rsidR="00375B16" w:rsidRPr="00726B8C" w:rsidRDefault="008F7417" w:rsidP="00A54CB3">
      <w:pPr>
        <w:jc w:val="both"/>
        <w:rPr>
          <w:sz w:val="22"/>
          <w:szCs w:val="22"/>
        </w:rPr>
      </w:pPr>
      <w:r w:rsidRPr="00726B8C">
        <w:rPr>
          <w:sz w:val="22"/>
          <w:szCs w:val="22"/>
        </w:rPr>
        <w:t xml:space="preserve">Country of Origin was recorded for </w:t>
      </w:r>
      <w:r w:rsidR="00931594" w:rsidRPr="00726B8C">
        <w:rPr>
          <w:sz w:val="22"/>
          <w:szCs w:val="22"/>
        </w:rPr>
        <w:t>6</w:t>
      </w:r>
      <w:r w:rsidR="00CD46B1">
        <w:rPr>
          <w:sz w:val="22"/>
          <w:szCs w:val="22"/>
        </w:rPr>
        <w:t>3</w:t>
      </w:r>
      <w:r w:rsidR="00931594" w:rsidRPr="00726B8C">
        <w:rPr>
          <w:sz w:val="22"/>
          <w:szCs w:val="22"/>
        </w:rPr>
        <w:t>.</w:t>
      </w:r>
      <w:r w:rsidR="00CD46B1">
        <w:rPr>
          <w:sz w:val="22"/>
          <w:szCs w:val="22"/>
        </w:rPr>
        <w:t>3</w:t>
      </w:r>
      <w:r w:rsidR="00931594" w:rsidRPr="00726B8C">
        <w:rPr>
          <w:sz w:val="22"/>
          <w:szCs w:val="22"/>
        </w:rPr>
        <w:t>% of callers (</w:t>
      </w:r>
      <w:r w:rsidR="00CD46B1">
        <w:rPr>
          <w:sz w:val="22"/>
          <w:szCs w:val="22"/>
        </w:rPr>
        <w:t>55,735</w:t>
      </w:r>
      <w:r w:rsidR="00931594" w:rsidRPr="00726B8C">
        <w:rPr>
          <w:sz w:val="22"/>
          <w:szCs w:val="22"/>
        </w:rPr>
        <w:t xml:space="preserve"> of </w:t>
      </w:r>
      <w:r w:rsidR="00CD46B1">
        <w:rPr>
          <w:sz w:val="22"/>
          <w:szCs w:val="22"/>
        </w:rPr>
        <w:t>88,104</w:t>
      </w:r>
      <w:r w:rsidR="00931594" w:rsidRPr="00726B8C">
        <w:rPr>
          <w:sz w:val="22"/>
          <w:szCs w:val="22"/>
        </w:rPr>
        <w:t xml:space="preserve"> callers)</w:t>
      </w:r>
      <w:r w:rsidR="009A1447" w:rsidRPr="00726B8C">
        <w:rPr>
          <w:sz w:val="22"/>
          <w:szCs w:val="22"/>
        </w:rPr>
        <w:t>.</w:t>
      </w:r>
      <w:r w:rsidR="00665C96" w:rsidRPr="00726B8C">
        <w:rPr>
          <w:sz w:val="22"/>
          <w:szCs w:val="22"/>
        </w:rPr>
        <w:t xml:space="preserve"> </w:t>
      </w:r>
      <w:r w:rsidR="00B20AA1">
        <w:rPr>
          <w:sz w:val="22"/>
          <w:szCs w:val="22"/>
        </w:rPr>
        <w:t>The large majority (</w:t>
      </w:r>
      <w:r w:rsidR="00665C96" w:rsidRPr="00726B8C">
        <w:rPr>
          <w:sz w:val="22"/>
          <w:szCs w:val="22"/>
        </w:rPr>
        <w:t>74.</w:t>
      </w:r>
      <w:r w:rsidR="00CD46B1">
        <w:rPr>
          <w:sz w:val="22"/>
          <w:szCs w:val="22"/>
        </w:rPr>
        <w:t>8</w:t>
      </w:r>
      <w:r w:rsidR="00665C96" w:rsidRPr="00726B8C">
        <w:rPr>
          <w:sz w:val="22"/>
          <w:szCs w:val="22"/>
        </w:rPr>
        <w:t>%</w:t>
      </w:r>
      <w:r w:rsidR="00B20AA1">
        <w:rPr>
          <w:sz w:val="22"/>
          <w:szCs w:val="22"/>
        </w:rPr>
        <w:t>)</w:t>
      </w:r>
      <w:r w:rsidR="00665C96" w:rsidRPr="00726B8C">
        <w:rPr>
          <w:sz w:val="22"/>
          <w:szCs w:val="22"/>
        </w:rPr>
        <w:t xml:space="preserve"> of </w:t>
      </w:r>
      <w:r w:rsidR="001D3F80">
        <w:rPr>
          <w:sz w:val="22"/>
          <w:szCs w:val="22"/>
        </w:rPr>
        <w:t xml:space="preserve">those </w:t>
      </w:r>
      <w:r w:rsidR="00665C96" w:rsidRPr="00726B8C">
        <w:rPr>
          <w:sz w:val="22"/>
          <w:szCs w:val="22"/>
        </w:rPr>
        <w:t>came from Ireland (4</w:t>
      </w:r>
      <w:r w:rsidR="00CD46B1">
        <w:rPr>
          <w:sz w:val="22"/>
          <w:szCs w:val="22"/>
        </w:rPr>
        <w:t>1,708</w:t>
      </w:r>
      <w:r w:rsidR="00665C96" w:rsidRPr="00726B8C">
        <w:rPr>
          <w:sz w:val="22"/>
          <w:szCs w:val="22"/>
        </w:rPr>
        <w:t xml:space="preserve"> callers</w:t>
      </w:r>
      <w:r w:rsidR="00E56338" w:rsidRPr="00726B8C">
        <w:rPr>
          <w:sz w:val="22"/>
          <w:szCs w:val="22"/>
        </w:rPr>
        <w:t>)</w:t>
      </w:r>
      <w:r w:rsidR="001D3F80">
        <w:rPr>
          <w:sz w:val="22"/>
          <w:szCs w:val="22"/>
        </w:rPr>
        <w:t xml:space="preserve">, with </w:t>
      </w:r>
      <w:r w:rsidR="0076530D">
        <w:rPr>
          <w:sz w:val="22"/>
          <w:szCs w:val="22"/>
        </w:rPr>
        <w:t xml:space="preserve">non-EU callers </w:t>
      </w:r>
      <w:r w:rsidR="001D3F80">
        <w:rPr>
          <w:sz w:val="22"/>
          <w:szCs w:val="22"/>
        </w:rPr>
        <w:t>representing</w:t>
      </w:r>
      <w:r w:rsidR="001D3F80" w:rsidRPr="00726B8C">
        <w:rPr>
          <w:sz w:val="22"/>
          <w:szCs w:val="22"/>
        </w:rPr>
        <w:t xml:space="preserve"> </w:t>
      </w:r>
      <w:r w:rsidR="00573608" w:rsidRPr="00726B8C">
        <w:rPr>
          <w:sz w:val="22"/>
          <w:szCs w:val="22"/>
        </w:rPr>
        <w:t>17.</w:t>
      </w:r>
      <w:r w:rsidR="00CD46B1">
        <w:rPr>
          <w:sz w:val="22"/>
          <w:szCs w:val="22"/>
        </w:rPr>
        <w:t>2</w:t>
      </w:r>
      <w:r w:rsidR="00573608" w:rsidRPr="00726B8C">
        <w:rPr>
          <w:sz w:val="22"/>
          <w:szCs w:val="22"/>
        </w:rPr>
        <w:t>% (</w:t>
      </w:r>
      <w:r w:rsidR="00CD46B1">
        <w:rPr>
          <w:sz w:val="22"/>
          <w:szCs w:val="22"/>
        </w:rPr>
        <w:t>9,600</w:t>
      </w:r>
      <w:r w:rsidR="00573608" w:rsidRPr="00726B8C">
        <w:rPr>
          <w:sz w:val="22"/>
          <w:szCs w:val="22"/>
        </w:rPr>
        <w:t>)</w:t>
      </w:r>
      <w:r w:rsidR="001D3F80">
        <w:rPr>
          <w:sz w:val="22"/>
          <w:szCs w:val="22"/>
        </w:rPr>
        <w:t xml:space="preserve"> of callers where </w:t>
      </w:r>
      <w:r w:rsidR="001D3F80">
        <w:rPr>
          <w:sz w:val="22"/>
          <w:szCs w:val="22"/>
        </w:rPr>
        <w:lastRenderedPageBreak/>
        <w:t>country of origin was recorded and a further</w:t>
      </w:r>
      <w:r w:rsidR="00573608" w:rsidRPr="00726B8C">
        <w:rPr>
          <w:sz w:val="22"/>
          <w:szCs w:val="22"/>
        </w:rPr>
        <w:t xml:space="preserve"> </w:t>
      </w:r>
      <w:r w:rsidR="00CD46B1">
        <w:rPr>
          <w:sz w:val="22"/>
          <w:szCs w:val="22"/>
        </w:rPr>
        <w:t>7.9</w:t>
      </w:r>
      <w:r w:rsidR="00573608" w:rsidRPr="00726B8C">
        <w:rPr>
          <w:sz w:val="22"/>
          <w:szCs w:val="22"/>
        </w:rPr>
        <w:t>%</w:t>
      </w:r>
      <w:r w:rsidR="00DB2C9C" w:rsidRPr="00726B8C">
        <w:rPr>
          <w:sz w:val="22"/>
          <w:szCs w:val="22"/>
        </w:rPr>
        <w:t xml:space="preserve"> </w:t>
      </w:r>
      <w:r w:rsidR="001D3F80">
        <w:rPr>
          <w:sz w:val="22"/>
          <w:szCs w:val="22"/>
        </w:rPr>
        <w:t>with a</w:t>
      </w:r>
      <w:r w:rsidR="00DB2C9C" w:rsidRPr="00726B8C">
        <w:rPr>
          <w:sz w:val="22"/>
          <w:szCs w:val="22"/>
        </w:rPr>
        <w:t xml:space="preserve"> European Union (excluding Ireland)</w:t>
      </w:r>
      <w:r w:rsidR="001D3F80">
        <w:rPr>
          <w:sz w:val="22"/>
          <w:szCs w:val="22"/>
        </w:rPr>
        <w:t xml:space="preserve"> country of origin</w:t>
      </w:r>
      <w:r w:rsidR="00DB2C9C" w:rsidRPr="00726B8C">
        <w:rPr>
          <w:sz w:val="22"/>
          <w:szCs w:val="22"/>
        </w:rPr>
        <w:t xml:space="preserve"> (</w:t>
      </w:r>
      <w:r w:rsidR="00CD46B1">
        <w:rPr>
          <w:sz w:val="22"/>
          <w:szCs w:val="22"/>
        </w:rPr>
        <w:t>4,427</w:t>
      </w:r>
      <w:r w:rsidR="00DB2C9C" w:rsidRPr="00726B8C">
        <w:rPr>
          <w:sz w:val="22"/>
          <w:szCs w:val="22"/>
        </w:rPr>
        <w:t xml:space="preserve"> callers).</w:t>
      </w:r>
    </w:p>
    <w:p w14:paraId="6509CA87" w14:textId="022CE8D8" w:rsidR="00711918" w:rsidRPr="00816688" w:rsidRDefault="00676842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 xml:space="preserve">Table </w:t>
      </w:r>
      <w:r w:rsidR="008A17BD" w:rsidRPr="00726B8C">
        <w:rPr>
          <w:rFonts w:eastAsia="Times New Roman"/>
          <w:lang w:eastAsia="en-IE"/>
        </w:rPr>
        <w:t>4:</w:t>
      </w:r>
      <w:r w:rsidR="00EE4AB7" w:rsidRPr="00726B8C">
        <w:rPr>
          <w:rFonts w:eastAsia="Times New Roman"/>
          <w:lang w:eastAsia="en-IE"/>
        </w:rPr>
        <w:t xml:space="preserve"> Top 5 Countries of Origin of callers (excluding Ireland)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860"/>
        <w:gridCol w:w="4397"/>
        <w:gridCol w:w="3923"/>
      </w:tblGrid>
      <w:tr w:rsidR="00816688" w14:paraId="723FF58C" w14:textId="77777777" w:rsidTr="00C92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CD9DC44" w14:textId="77777777" w:rsidR="00816688" w:rsidRDefault="00816688" w:rsidP="00CF0269">
            <w:pPr>
              <w:rPr>
                <w:rFonts w:ascii="Calibri" w:eastAsiaTheme="majorEastAsia" w:hAnsi="Calibri" w:cs="Calibri"/>
              </w:rPr>
            </w:pPr>
          </w:p>
        </w:tc>
        <w:tc>
          <w:tcPr>
            <w:tcW w:w="4397" w:type="dxa"/>
          </w:tcPr>
          <w:p w14:paraId="4CE424C6" w14:textId="77777777" w:rsidR="00816688" w:rsidRPr="00A75978" w:rsidRDefault="00816688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Country of Origin</w:t>
            </w:r>
          </w:p>
        </w:tc>
        <w:tc>
          <w:tcPr>
            <w:tcW w:w="3923" w:type="dxa"/>
          </w:tcPr>
          <w:p w14:paraId="6763945F" w14:textId="77777777" w:rsidR="00816688" w:rsidRPr="00A75978" w:rsidRDefault="00816688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Number of callers</w:t>
            </w:r>
          </w:p>
        </w:tc>
      </w:tr>
      <w:tr w:rsidR="00816688" w14:paraId="53E79502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1ABBF16D" w14:textId="77777777" w:rsidR="00816688" w:rsidRPr="00A75978" w:rsidRDefault="00816688" w:rsidP="00CF0269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4397" w:type="dxa"/>
          </w:tcPr>
          <w:p w14:paraId="372995ED" w14:textId="7A39B467" w:rsidR="00816688" w:rsidRPr="00A75978" w:rsidRDefault="00CD46B1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 xml:space="preserve">Poland  </w:t>
            </w:r>
          </w:p>
        </w:tc>
        <w:tc>
          <w:tcPr>
            <w:tcW w:w="3923" w:type="dxa"/>
          </w:tcPr>
          <w:p w14:paraId="516968D5" w14:textId="0953B893" w:rsidR="00816688" w:rsidRPr="00A7597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1,</w:t>
            </w:r>
            <w:r w:rsidR="00CD46B1" w:rsidRPr="00A75978">
              <w:rPr>
                <w:rFonts w:ascii="Calibri" w:hAnsi="Calibri" w:cs="Calibri"/>
                <w:sz w:val="20"/>
                <w:szCs w:val="20"/>
              </w:rPr>
              <w:t>547</w:t>
            </w:r>
          </w:p>
        </w:tc>
      </w:tr>
      <w:tr w:rsidR="00816688" w14:paraId="7E8A7FBC" w14:textId="77777777" w:rsidTr="00C92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764C6190" w14:textId="77777777" w:rsidR="00816688" w:rsidRPr="00A75978" w:rsidRDefault="00816688" w:rsidP="00CF0269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4397" w:type="dxa"/>
          </w:tcPr>
          <w:p w14:paraId="6B47CA78" w14:textId="12CADB57" w:rsidR="00816688" w:rsidRPr="00A75978" w:rsidRDefault="00CD46B1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3923" w:type="dxa"/>
          </w:tcPr>
          <w:p w14:paraId="3C2F52DB" w14:textId="395199D6" w:rsidR="00816688" w:rsidRPr="00A7597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1,</w:t>
            </w:r>
            <w:r w:rsidR="00CD46B1" w:rsidRPr="00A75978">
              <w:rPr>
                <w:rFonts w:ascii="Calibri" w:hAnsi="Calibri" w:cs="Calibri"/>
                <w:sz w:val="20"/>
                <w:szCs w:val="20"/>
              </w:rPr>
              <w:t>511</w:t>
            </w:r>
          </w:p>
        </w:tc>
      </w:tr>
      <w:tr w:rsidR="00816688" w14:paraId="270E4A0B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225349E2" w14:textId="77777777" w:rsidR="00816688" w:rsidRPr="00A75978" w:rsidRDefault="00816688" w:rsidP="00CF0269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4397" w:type="dxa"/>
          </w:tcPr>
          <w:p w14:paraId="70461CDE" w14:textId="77777777" w:rsidR="00816688" w:rsidRPr="00A7597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3923" w:type="dxa"/>
          </w:tcPr>
          <w:p w14:paraId="4CCE7293" w14:textId="4710C206" w:rsidR="00816688" w:rsidRPr="00A7597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1,</w:t>
            </w:r>
            <w:r w:rsidR="00CD46B1" w:rsidRPr="00A75978"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</w:tr>
      <w:tr w:rsidR="00816688" w14:paraId="2FF8386A" w14:textId="77777777" w:rsidTr="00C92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A3B5D43" w14:textId="77777777" w:rsidR="00816688" w:rsidRPr="00A75978" w:rsidRDefault="00816688" w:rsidP="00CF0269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4397" w:type="dxa"/>
          </w:tcPr>
          <w:p w14:paraId="0275C84F" w14:textId="77777777" w:rsidR="00816688" w:rsidRPr="00A75978" w:rsidRDefault="00816688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United Kingdom</w:t>
            </w:r>
          </w:p>
        </w:tc>
        <w:tc>
          <w:tcPr>
            <w:tcW w:w="3923" w:type="dxa"/>
          </w:tcPr>
          <w:p w14:paraId="7B922090" w14:textId="68B3FA8D" w:rsidR="00816688" w:rsidRPr="00A75978" w:rsidRDefault="00CD46B1" w:rsidP="00C92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879</w:t>
            </w:r>
          </w:p>
        </w:tc>
      </w:tr>
      <w:tr w:rsidR="00816688" w14:paraId="26C837E7" w14:textId="77777777" w:rsidTr="00C92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dxa"/>
          </w:tcPr>
          <w:p w14:paraId="60990DE7" w14:textId="77777777" w:rsidR="00816688" w:rsidRPr="00A75978" w:rsidRDefault="00816688" w:rsidP="00CF0269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4397" w:type="dxa"/>
          </w:tcPr>
          <w:p w14:paraId="6AB73720" w14:textId="77777777" w:rsidR="00816688" w:rsidRPr="00A75978" w:rsidRDefault="00816688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3923" w:type="dxa"/>
          </w:tcPr>
          <w:p w14:paraId="11CAA929" w14:textId="52B2B439" w:rsidR="00816688" w:rsidRPr="00A75978" w:rsidRDefault="00CD46B1" w:rsidP="00C92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75978">
              <w:rPr>
                <w:rFonts w:ascii="Calibri" w:hAnsi="Calibri" w:cs="Calibri"/>
                <w:sz w:val="20"/>
                <w:szCs w:val="20"/>
              </w:rPr>
              <w:t>733</w:t>
            </w:r>
          </w:p>
        </w:tc>
      </w:tr>
    </w:tbl>
    <w:p w14:paraId="0D233EC0" w14:textId="77777777" w:rsidR="00C92219" w:rsidRDefault="00C92219" w:rsidP="00C92219">
      <w:pPr>
        <w:pStyle w:val="Heading3"/>
        <w:rPr>
          <w:rFonts w:eastAsia="Times New Roman"/>
          <w:lang w:eastAsia="en-IE"/>
        </w:rPr>
      </w:pPr>
    </w:p>
    <w:p w14:paraId="6D9536F6" w14:textId="137F13B2" w:rsidR="008A17BD" w:rsidRPr="00726B8C" w:rsidRDefault="00711918" w:rsidP="00C92219">
      <w:pPr>
        <w:pStyle w:val="Heading3"/>
        <w:rPr>
          <w:rFonts w:eastAsia="Times New Roman"/>
          <w:lang w:eastAsia="en-IE"/>
        </w:rPr>
      </w:pPr>
      <w:r w:rsidRPr="00726B8C">
        <w:rPr>
          <w:rFonts w:eastAsia="Times New Roman"/>
          <w:lang w:eastAsia="en-IE"/>
        </w:rPr>
        <w:t>Table 5: Country of Origin of callers who contacted CISs most by age cohort (excluding Ireland)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997"/>
      </w:tblGrid>
      <w:tr w:rsidR="00711918" w:rsidRPr="00726B8C" w14:paraId="67BD3C3C" w14:textId="77777777" w:rsidTr="00A7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DF55CD6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03" w:type="dxa"/>
          </w:tcPr>
          <w:p w14:paraId="58F7575B" w14:textId="77777777" w:rsidR="00711918" w:rsidRPr="00A75978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Under 25</w:t>
            </w:r>
          </w:p>
        </w:tc>
        <w:tc>
          <w:tcPr>
            <w:tcW w:w="1803" w:type="dxa"/>
          </w:tcPr>
          <w:p w14:paraId="23DF2131" w14:textId="77777777" w:rsidR="00711918" w:rsidRPr="00A75978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26-45</w:t>
            </w:r>
          </w:p>
        </w:tc>
        <w:tc>
          <w:tcPr>
            <w:tcW w:w="1803" w:type="dxa"/>
          </w:tcPr>
          <w:p w14:paraId="42091431" w14:textId="095DA7F0" w:rsidR="00711918" w:rsidRPr="00A75978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46-65</w:t>
            </w:r>
          </w:p>
        </w:tc>
        <w:tc>
          <w:tcPr>
            <w:tcW w:w="1997" w:type="dxa"/>
          </w:tcPr>
          <w:p w14:paraId="715868E6" w14:textId="6B676713" w:rsidR="00711918" w:rsidRPr="00A75978" w:rsidRDefault="00711918" w:rsidP="00A73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 xml:space="preserve">66 and </w:t>
            </w:r>
            <w:r w:rsidR="00860A5D" w:rsidRPr="00A75978">
              <w:rPr>
                <w:rFonts w:ascii="Calibri" w:hAnsi="Calibri" w:cs="Calibri"/>
                <w:color w:val="000000" w:themeColor="text1"/>
              </w:rPr>
              <w:t>over</w:t>
            </w:r>
          </w:p>
        </w:tc>
      </w:tr>
      <w:tr w:rsidR="00711918" w:rsidRPr="00726B8C" w14:paraId="30169AEF" w14:textId="77777777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1BCAD3A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03" w:type="dxa"/>
          </w:tcPr>
          <w:p w14:paraId="1E4E6556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803" w:type="dxa"/>
          </w:tcPr>
          <w:p w14:paraId="409250DC" w14:textId="72BEE09E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</w:t>
            </w:r>
            <w:r w:rsidR="00FC65D6" w:rsidRPr="00400A7D">
              <w:rPr>
                <w:rFonts w:ascii="Calibri" w:hAnsi="Calibri" w:cs="Calibri"/>
                <w:sz w:val="20"/>
                <w:szCs w:val="20"/>
              </w:rPr>
              <w:t>nd</w:t>
            </w:r>
          </w:p>
        </w:tc>
        <w:tc>
          <w:tcPr>
            <w:tcW w:w="1803" w:type="dxa"/>
          </w:tcPr>
          <w:p w14:paraId="4834DFBD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  <w:tc>
          <w:tcPr>
            <w:tcW w:w="1997" w:type="dxa"/>
          </w:tcPr>
          <w:p w14:paraId="2F782B01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United Kingdom</w:t>
            </w:r>
          </w:p>
        </w:tc>
      </w:tr>
      <w:tr w:rsidR="00711918" w:rsidRPr="00726B8C" w14:paraId="7DC80B84" w14:textId="77777777" w:rsidTr="00A7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E4286EE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803" w:type="dxa"/>
          </w:tcPr>
          <w:p w14:paraId="093F5CF0" w14:textId="5862EF26" w:rsidR="00711918" w:rsidRPr="00400A7D" w:rsidRDefault="00CD46B1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  <w:tc>
          <w:tcPr>
            <w:tcW w:w="1803" w:type="dxa"/>
          </w:tcPr>
          <w:p w14:paraId="5EDD1C0E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803" w:type="dxa"/>
          </w:tcPr>
          <w:p w14:paraId="638A401E" w14:textId="7EBE3643" w:rsidR="00711918" w:rsidRPr="00400A7D" w:rsidRDefault="00CD46B1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 xml:space="preserve">Nigeria </w:t>
            </w:r>
          </w:p>
        </w:tc>
        <w:tc>
          <w:tcPr>
            <w:tcW w:w="1997" w:type="dxa"/>
          </w:tcPr>
          <w:p w14:paraId="49CAA27A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</w:tr>
      <w:tr w:rsidR="00711918" w:rsidRPr="00726B8C" w14:paraId="265D4953" w14:textId="77777777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E6EC80D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803" w:type="dxa"/>
          </w:tcPr>
          <w:p w14:paraId="7AFD99B9" w14:textId="2D01CF55" w:rsidR="00711918" w:rsidRPr="00400A7D" w:rsidRDefault="00CD46B1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Afghanistan</w:t>
            </w:r>
          </w:p>
        </w:tc>
        <w:tc>
          <w:tcPr>
            <w:tcW w:w="1803" w:type="dxa"/>
          </w:tcPr>
          <w:p w14:paraId="6DFF49E9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803" w:type="dxa"/>
          </w:tcPr>
          <w:p w14:paraId="75C36BA6" w14:textId="6234B56E" w:rsidR="00711918" w:rsidRPr="00400A7D" w:rsidRDefault="00CD46B1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Ukraine</w:t>
            </w:r>
          </w:p>
        </w:tc>
        <w:tc>
          <w:tcPr>
            <w:tcW w:w="1997" w:type="dxa"/>
          </w:tcPr>
          <w:p w14:paraId="6505B0D2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Poland</w:t>
            </w:r>
          </w:p>
        </w:tc>
      </w:tr>
      <w:tr w:rsidR="00711918" w:rsidRPr="00726B8C" w14:paraId="7F965C4B" w14:textId="77777777" w:rsidTr="00A7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3D2B13E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803" w:type="dxa"/>
          </w:tcPr>
          <w:p w14:paraId="24E68B4A" w14:textId="1B85405E" w:rsidR="00711918" w:rsidRPr="00400A7D" w:rsidRDefault="00CD46B1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Nigeria</w:t>
            </w:r>
          </w:p>
        </w:tc>
        <w:tc>
          <w:tcPr>
            <w:tcW w:w="1803" w:type="dxa"/>
          </w:tcPr>
          <w:p w14:paraId="3B7A61B6" w14:textId="032E529F" w:rsidR="00711918" w:rsidRPr="00400A7D" w:rsidRDefault="00CD46B1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 xml:space="preserve">Bangladesh </w:t>
            </w:r>
          </w:p>
        </w:tc>
        <w:tc>
          <w:tcPr>
            <w:tcW w:w="1803" w:type="dxa"/>
          </w:tcPr>
          <w:p w14:paraId="61035610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United Kingdom</w:t>
            </w:r>
          </w:p>
        </w:tc>
        <w:tc>
          <w:tcPr>
            <w:tcW w:w="1997" w:type="dxa"/>
          </w:tcPr>
          <w:p w14:paraId="58098093" w14:textId="77777777" w:rsidR="00711918" w:rsidRPr="00400A7D" w:rsidRDefault="00711918" w:rsidP="00400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Lithuania</w:t>
            </w:r>
          </w:p>
        </w:tc>
      </w:tr>
      <w:tr w:rsidR="00711918" w:rsidRPr="00726B8C" w14:paraId="02615D1C" w14:textId="77777777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65FA1BB" w14:textId="77777777" w:rsidR="00711918" w:rsidRPr="00A75978" w:rsidRDefault="00711918" w:rsidP="002551DE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803" w:type="dxa"/>
          </w:tcPr>
          <w:p w14:paraId="5DCC5FC5" w14:textId="5E42F46C" w:rsidR="00711918" w:rsidRPr="00400A7D" w:rsidRDefault="00CF5D0D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803" w:type="dxa"/>
          </w:tcPr>
          <w:p w14:paraId="0482E46F" w14:textId="23245609" w:rsidR="00711918" w:rsidRPr="00400A7D" w:rsidRDefault="00CD46B1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803" w:type="dxa"/>
          </w:tcPr>
          <w:p w14:paraId="2C821DF6" w14:textId="77777777" w:rsidR="00711918" w:rsidRPr="00400A7D" w:rsidRDefault="00711918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Romania</w:t>
            </w:r>
          </w:p>
        </w:tc>
        <w:tc>
          <w:tcPr>
            <w:tcW w:w="1997" w:type="dxa"/>
          </w:tcPr>
          <w:p w14:paraId="16C44395" w14:textId="63BC6559" w:rsidR="00711918" w:rsidRPr="00400A7D" w:rsidRDefault="00E04CE2" w:rsidP="00400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00A7D">
              <w:rPr>
                <w:rFonts w:ascii="Calibri" w:hAnsi="Calibri" w:cs="Calibri"/>
                <w:sz w:val="20"/>
                <w:szCs w:val="20"/>
              </w:rPr>
              <w:t>USA</w:t>
            </w:r>
          </w:p>
        </w:tc>
      </w:tr>
    </w:tbl>
    <w:p w14:paraId="23F6FFFD" w14:textId="77777777" w:rsidR="00953170" w:rsidRPr="00726B8C" w:rsidRDefault="00953170" w:rsidP="00953170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</w:p>
    <w:p w14:paraId="6658C25B" w14:textId="04BD6591" w:rsidR="00953170" w:rsidRPr="00726B8C" w:rsidRDefault="00A64886" w:rsidP="00205F8F">
      <w:pPr>
        <w:pStyle w:val="Heading2"/>
      </w:pPr>
      <w:r>
        <w:t>Specific Needs</w:t>
      </w:r>
      <w:r w:rsidR="00F76721">
        <w:t xml:space="preserve"> Identified</w:t>
      </w:r>
    </w:p>
    <w:p w14:paraId="1E4FAC41" w14:textId="6C5B6012" w:rsidR="00982CCA" w:rsidRPr="00026E60" w:rsidRDefault="00953170" w:rsidP="00982CCA">
      <w:pPr>
        <w:jc w:val="both"/>
        <w:rPr>
          <w:rFonts w:eastAsia="Times New Roman"/>
          <w:b/>
          <w:sz w:val="22"/>
          <w:szCs w:val="22"/>
          <w:lang w:eastAsia="en-IE"/>
        </w:rPr>
      </w:pPr>
      <w:r w:rsidRPr="00026E60">
        <w:rPr>
          <w:rFonts w:eastAsiaTheme="majorEastAsia"/>
          <w:sz w:val="22"/>
          <w:szCs w:val="22"/>
        </w:rPr>
        <w:t>In Q</w:t>
      </w:r>
      <w:r w:rsidR="00CD46B1" w:rsidRPr="00026E60">
        <w:rPr>
          <w:rFonts w:eastAsiaTheme="majorEastAsia"/>
          <w:sz w:val="22"/>
          <w:szCs w:val="22"/>
        </w:rPr>
        <w:t>4</w:t>
      </w:r>
      <w:r w:rsidRPr="00026E60">
        <w:rPr>
          <w:rFonts w:eastAsiaTheme="majorEastAsia"/>
          <w:sz w:val="22"/>
          <w:szCs w:val="22"/>
        </w:rPr>
        <w:t xml:space="preserve"> 2024, </w:t>
      </w:r>
      <w:r w:rsidR="009B17C7" w:rsidRPr="00026E60">
        <w:rPr>
          <w:rFonts w:eastAsiaTheme="majorEastAsia"/>
          <w:sz w:val="22"/>
          <w:szCs w:val="22"/>
        </w:rPr>
        <w:t>15.</w:t>
      </w:r>
      <w:r w:rsidR="00CD46B1" w:rsidRPr="00026E60">
        <w:rPr>
          <w:rFonts w:eastAsiaTheme="majorEastAsia"/>
          <w:sz w:val="22"/>
          <w:szCs w:val="22"/>
        </w:rPr>
        <w:t>3</w:t>
      </w:r>
      <w:r w:rsidRPr="00026E60">
        <w:rPr>
          <w:rFonts w:eastAsiaTheme="majorEastAsia"/>
          <w:sz w:val="22"/>
          <w:szCs w:val="22"/>
        </w:rPr>
        <w:t>%</w:t>
      </w:r>
      <w:r w:rsidR="00205F8F" w:rsidRPr="00026E60">
        <w:rPr>
          <w:rFonts w:eastAsiaTheme="majorEastAsia"/>
          <w:sz w:val="22"/>
          <w:szCs w:val="22"/>
        </w:rPr>
        <w:t xml:space="preserve"> of callers</w:t>
      </w:r>
      <w:r w:rsidRPr="00026E60">
        <w:rPr>
          <w:rFonts w:eastAsiaTheme="majorEastAsia"/>
          <w:sz w:val="22"/>
          <w:szCs w:val="22"/>
        </w:rPr>
        <w:t xml:space="preserve"> (</w:t>
      </w:r>
      <w:r w:rsidR="00700169" w:rsidRPr="00026E60">
        <w:rPr>
          <w:rFonts w:eastAsiaTheme="majorEastAsia"/>
          <w:sz w:val="22"/>
          <w:szCs w:val="22"/>
        </w:rPr>
        <w:t>1</w:t>
      </w:r>
      <w:r w:rsidR="00CD46B1" w:rsidRPr="00026E60">
        <w:rPr>
          <w:rFonts w:eastAsiaTheme="majorEastAsia"/>
          <w:sz w:val="22"/>
          <w:szCs w:val="22"/>
        </w:rPr>
        <w:t>3,464</w:t>
      </w:r>
      <w:r w:rsidRPr="00026E60">
        <w:rPr>
          <w:rFonts w:eastAsiaTheme="majorEastAsia"/>
          <w:sz w:val="22"/>
          <w:szCs w:val="22"/>
        </w:rPr>
        <w:t xml:space="preserve"> </w:t>
      </w:r>
      <w:r w:rsidR="00205F8F" w:rsidRPr="00026E60">
        <w:rPr>
          <w:rFonts w:eastAsiaTheme="majorEastAsia"/>
          <w:sz w:val="22"/>
          <w:szCs w:val="22"/>
        </w:rPr>
        <w:t>people</w:t>
      </w:r>
      <w:r w:rsidRPr="00026E60">
        <w:rPr>
          <w:rFonts w:eastAsiaTheme="majorEastAsia"/>
          <w:sz w:val="22"/>
          <w:szCs w:val="22"/>
        </w:rPr>
        <w:t xml:space="preserve">) were identified by information providers as having particular needs or encountering barriers to accessing services, including language, literacy, and online access issues. </w:t>
      </w:r>
      <w:r w:rsidR="00205F8F" w:rsidRPr="00026E60">
        <w:rPr>
          <w:rFonts w:eastAsiaTheme="majorEastAsia"/>
          <w:sz w:val="22"/>
          <w:szCs w:val="22"/>
        </w:rPr>
        <w:t>This represents</w:t>
      </w:r>
      <w:r w:rsidR="00A43643" w:rsidRPr="00026E60">
        <w:rPr>
          <w:rFonts w:eastAsiaTheme="majorEastAsia"/>
          <w:sz w:val="22"/>
          <w:szCs w:val="22"/>
        </w:rPr>
        <w:t xml:space="preserve"> a </w:t>
      </w:r>
      <w:r w:rsidR="00CD46B1" w:rsidRPr="00026E60">
        <w:rPr>
          <w:rFonts w:eastAsiaTheme="majorEastAsia"/>
          <w:sz w:val="22"/>
          <w:szCs w:val="22"/>
        </w:rPr>
        <w:t>3.2</w:t>
      </w:r>
      <w:r w:rsidR="004E0C5B" w:rsidRPr="00026E60">
        <w:rPr>
          <w:rFonts w:eastAsiaTheme="majorEastAsia"/>
          <w:sz w:val="22"/>
          <w:szCs w:val="22"/>
        </w:rPr>
        <w:t>% increase</w:t>
      </w:r>
      <w:r w:rsidR="00A64886" w:rsidRPr="00026E60">
        <w:rPr>
          <w:rFonts w:eastAsiaTheme="majorEastAsia"/>
          <w:sz w:val="22"/>
          <w:szCs w:val="22"/>
        </w:rPr>
        <w:t xml:space="preserve"> from Q4 2023</w:t>
      </w:r>
      <w:r w:rsidR="004E0C5B" w:rsidRPr="00026E60">
        <w:rPr>
          <w:rFonts w:eastAsiaTheme="majorEastAsia"/>
          <w:sz w:val="22"/>
          <w:szCs w:val="22"/>
        </w:rPr>
        <w:t xml:space="preserve"> </w:t>
      </w:r>
      <w:r w:rsidR="00205F8F" w:rsidRPr="00026E60">
        <w:rPr>
          <w:rFonts w:eastAsiaTheme="majorEastAsia"/>
          <w:sz w:val="22"/>
          <w:szCs w:val="22"/>
        </w:rPr>
        <w:t xml:space="preserve">in </w:t>
      </w:r>
      <w:r w:rsidR="004E0C5B" w:rsidRPr="00026E60">
        <w:rPr>
          <w:rFonts w:eastAsiaTheme="majorEastAsia"/>
          <w:sz w:val="22"/>
          <w:szCs w:val="22"/>
        </w:rPr>
        <w:t xml:space="preserve">callers </w:t>
      </w:r>
      <w:r w:rsidR="001D3F80" w:rsidRPr="00026E60">
        <w:rPr>
          <w:rFonts w:eastAsiaTheme="majorEastAsia"/>
          <w:sz w:val="22"/>
          <w:szCs w:val="22"/>
        </w:rPr>
        <w:t xml:space="preserve">identified as having </w:t>
      </w:r>
      <w:r w:rsidR="004E0C5B" w:rsidRPr="00026E60">
        <w:rPr>
          <w:rFonts w:eastAsiaTheme="majorEastAsia"/>
          <w:sz w:val="22"/>
          <w:szCs w:val="22"/>
        </w:rPr>
        <w:t>specific needs.</w:t>
      </w:r>
      <w:bookmarkStart w:id="0" w:name="_Hlk181874234"/>
    </w:p>
    <w:p w14:paraId="318EBB9F" w14:textId="02D0C62F" w:rsidR="007B6918" w:rsidRPr="00982CCA" w:rsidRDefault="00197D7A" w:rsidP="00C92219">
      <w:pPr>
        <w:pStyle w:val="Heading3"/>
      </w:pPr>
      <w:r w:rsidRPr="00982CCA">
        <w:rPr>
          <w:rFonts w:eastAsia="Times New Roman"/>
          <w:lang w:eastAsia="en-IE"/>
        </w:rPr>
        <w:t>Table 6: Specific Needs Comparison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22"/>
        <w:gridCol w:w="2447"/>
      </w:tblGrid>
      <w:tr w:rsidR="00295608" w14:paraId="14D5B43C" w14:textId="77777777" w:rsidTr="00825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AEB3F4" w14:textId="6D7664FB" w:rsidR="00295608" w:rsidRPr="00A75978" w:rsidRDefault="00DF45CD" w:rsidP="00953170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Specific Needs</w:t>
            </w:r>
          </w:p>
        </w:tc>
        <w:tc>
          <w:tcPr>
            <w:tcW w:w="1843" w:type="dxa"/>
          </w:tcPr>
          <w:p w14:paraId="273AA089" w14:textId="6BF49B63" w:rsidR="00295608" w:rsidRPr="00A75978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Q</w:t>
            </w:r>
            <w:r w:rsidR="00CD46B1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Pr="00A75978">
              <w:rPr>
                <w:rFonts w:ascii="Calibri" w:hAnsi="Calibri" w:cs="Calibri"/>
                <w:color w:val="000000" w:themeColor="text1"/>
              </w:rPr>
              <w:t xml:space="preserve"> 2023</w:t>
            </w:r>
          </w:p>
        </w:tc>
        <w:tc>
          <w:tcPr>
            <w:tcW w:w="1522" w:type="dxa"/>
          </w:tcPr>
          <w:p w14:paraId="0F2D7C38" w14:textId="12292E8D" w:rsidR="00295608" w:rsidRPr="00A75978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Q</w:t>
            </w:r>
            <w:r w:rsidR="00CD46B1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Pr="00A75978">
              <w:rPr>
                <w:rFonts w:ascii="Calibri" w:hAnsi="Calibri" w:cs="Calibri"/>
                <w:color w:val="000000" w:themeColor="text1"/>
              </w:rPr>
              <w:t xml:space="preserve"> 2024</w:t>
            </w:r>
          </w:p>
        </w:tc>
        <w:tc>
          <w:tcPr>
            <w:tcW w:w="2447" w:type="dxa"/>
          </w:tcPr>
          <w:p w14:paraId="5F0318A7" w14:textId="6C3542E3" w:rsidR="00295608" w:rsidRPr="00A75978" w:rsidRDefault="00DF45CD" w:rsidP="006E6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Change</w:t>
            </w:r>
          </w:p>
        </w:tc>
      </w:tr>
      <w:tr w:rsidR="00295608" w14:paraId="514250BD" w14:textId="77777777" w:rsidTr="0082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70150C" w14:textId="3976C755" w:rsidR="00295608" w:rsidRPr="00A75978" w:rsidRDefault="006E63DF" w:rsidP="0095317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Language</w:t>
            </w:r>
          </w:p>
        </w:tc>
        <w:tc>
          <w:tcPr>
            <w:tcW w:w="1843" w:type="dxa"/>
          </w:tcPr>
          <w:p w14:paraId="17E4507E" w14:textId="05460639" w:rsidR="00295608" w:rsidRPr="00A75978" w:rsidRDefault="00CD46B1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5,646</w:t>
            </w:r>
          </w:p>
        </w:tc>
        <w:tc>
          <w:tcPr>
            <w:tcW w:w="1522" w:type="dxa"/>
          </w:tcPr>
          <w:p w14:paraId="2CF0B12A" w14:textId="2D457829" w:rsidR="00295608" w:rsidRPr="00A75978" w:rsidRDefault="00CD46B1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5,565</w:t>
            </w:r>
          </w:p>
        </w:tc>
        <w:tc>
          <w:tcPr>
            <w:tcW w:w="2447" w:type="dxa"/>
          </w:tcPr>
          <w:p w14:paraId="28C9655C" w14:textId="32185A1C" w:rsidR="00295608" w:rsidRPr="00A75978" w:rsidRDefault="00552065" w:rsidP="006E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-1.4</w:t>
            </w:r>
            <w:r w:rsidR="00A157B0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E5E7F" w14:paraId="27F5B636" w14:textId="77777777" w:rsidTr="00825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8204616" w14:textId="47DB35A1" w:rsidR="005E5E7F" w:rsidRPr="00A75978" w:rsidRDefault="005E5E7F" w:rsidP="005E5E7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Distressed Client</w:t>
            </w:r>
          </w:p>
        </w:tc>
        <w:tc>
          <w:tcPr>
            <w:tcW w:w="1843" w:type="dxa"/>
            <w:vAlign w:val="center"/>
          </w:tcPr>
          <w:p w14:paraId="092DBB9F" w14:textId="5752DA23" w:rsidR="005E5E7F" w:rsidRPr="00A75978" w:rsidRDefault="00552065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2,857</w:t>
            </w:r>
          </w:p>
        </w:tc>
        <w:tc>
          <w:tcPr>
            <w:tcW w:w="1522" w:type="dxa"/>
            <w:vAlign w:val="center"/>
          </w:tcPr>
          <w:p w14:paraId="3A837F87" w14:textId="56D12C07" w:rsidR="005E5E7F" w:rsidRPr="00A75978" w:rsidRDefault="00CD46B1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2,683</w:t>
            </w:r>
          </w:p>
        </w:tc>
        <w:tc>
          <w:tcPr>
            <w:tcW w:w="2447" w:type="dxa"/>
            <w:vAlign w:val="center"/>
          </w:tcPr>
          <w:p w14:paraId="61C043CB" w14:textId="0F9538C7" w:rsidR="005E5E7F" w:rsidRPr="00A75978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6.1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E5E7F" w14:paraId="774D75F2" w14:textId="77777777" w:rsidTr="0082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85C0BF0" w14:textId="4CB9AEC4" w:rsidR="005E5E7F" w:rsidRPr="00A75978" w:rsidRDefault="00552065" w:rsidP="005E5E7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Digital </w:t>
            </w:r>
            <w:r w:rsidR="005E5E7F" w:rsidRPr="00A75978">
              <w:rPr>
                <w:rFonts w:ascii="Calibri" w:hAnsi="Calibri" w:cs="Calibri"/>
                <w:color w:val="auto"/>
                <w:sz w:val="20"/>
                <w:szCs w:val="20"/>
              </w:rPr>
              <w:t>Literacy</w:t>
            </w:r>
          </w:p>
        </w:tc>
        <w:tc>
          <w:tcPr>
            <w:tcW w:w="1843" w:type="dxa"/>
            <w:vAlign w:val="center"/>
          </w:tcPr>
          <w:p w14:paraId="1E42B342" w14:textId="34447F2B" w:rsidR="005E5E7F" w:rsidRPr="00A75978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,458</w:t>
            </w:r>
          </w:p>
        </w:tc>
        <w:tc>
          <w:tcPr>
            <w:tcW w:w="1522" w:type="dxa"/>
            <w:vAlign w:val="center"/>
          </w:tcPr>
          <w:p w14:paraId="7FE39FDF" w14:textId="07586202" w:rsidR="005E5E7F" w:rsidRPr="00A75978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2,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447" w:type="dxa"/>
            <w:vAlign w:val="center"/>
          </w:tcPr>
          <w:p w14:paraId="5A79375B" w14:textId="4F7B9367" w:rsidR="005E5E7F" w:rsidRPr="00A75978" w:rsidRDefault="00A157B0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37.9</w:t>
            </w:r>
            <w:r w:rsidR="005E5E7F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5E5E7F" w14:paraId="2C5B5B34" w14:textId="77777777" w:rsidTr="00825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1B2C796" w14:textId="33D3503B" w:rsidR="005E5E7F" w:rsidRPr="00A75978" w:rsidRDefault="005E5E7F" w:rsidP="005E5E7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Literacy</w:t>
            </w:r>
          </w:p>
        </w:tc>
        <w:tc>
          <w:tcPr>
            <w:tcW w:w="1843" w:type="dxa"/>
            <w:vAlign w:val="center"/>
          </w:tcPr>
          <w:p w14:paraId="729FBD4D" w14:textId="6E72E3CB" w:rsidR="005E5E7F" w:rsidRPr="00A75978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22" w:type="dxa"/>
            <w:vAlign w:val="center"/>
          </w:tcPr>
          <w:p w14:paraId="752E1DE4" w14:textId="01EB1347" w:rsidR="005E5E7F" w:rsidRPr="00A75978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1,90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7" w:type="dxa"/>
            <w:vAlign w:val="center"/>
          </w:tcPr>
          <w:p w14:paraId="053DBBD4" w14:textId="7FF088AE" w:rsidR="005E5E7F" w:rsidRPr="00A75978" w:rsidRDefault="00A157B0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17.1</w:t>
            </w:r>
            <w:r w:rsidR="005E5E7F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5E5E7F" w14:paraId="021C7000" w14:textId="77777777" w:rsidTr="0082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7C6B3A8" w14:textId="6031B5DC" w:rsidR="005E5E7F" w:rsidRPr="00A75978" w:rsidRDefault="005E5E7F" w:rsidP="005E5E7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No online/ IT Access</w:t>
            </w:r>
          </w:p>
        </w:tc>
        <w:tc>
          <w:tcPr>
            <w:tcW w:w="1843" w:type="dxa"/>
            <w:vAlign w:val="center"/>
          </w:tcPr>
          <w:p w14:paraId="2CE6FEBC" w14:textId="4A3E7938" w:rsidR="005E5E7F" w:rsidRPr="00A75978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22" w:type="dxa"/>
            <w:vAlign w:val="center"/>
          </w:tcPr>
          <w:p w14:paraId="34C74FCF" w14:textId="6CE084B3" w:rsidR="005E5E7F" w:rsidRPr="00A75978" w:rsidRDefault="005E5E7F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7" w:type="dxa"/>
            <w:vAlign w:val="center"/>
          </w:tcPr>
          <w:p w14:paraId="5D4D860C" w14:textId="6EADEA2E" w:rsidR="005E5E7F" w:rsidRPr="00A75978" w:rsidRDefault="00A157B0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27.9</w:t>
            </w:r>
            <w:r w:rsidR="005E5E7F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5E5E7F" w14:paraId="77B94EF1" w14:textId="77777777" w:rsidTr="00825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8016A39" w14:textId="0D728BEB" w:rsidR="005E5E7F" w:rsidRPr="00A75978" w:rsidRDefault="005E5E7F" w:rsidP="005E5E7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Physical  </w:t>
            </w:r>
          </w:p>
        </w:tc>
        <w:tc>
          <w:tcPr>
            <w:tcW w:w="1843" w:type="dxa"/>
            <w:vAlign w:val="center"/>
          </w:tcPr>
          <w:p w14:paraId="0954C55C" w14:textId="15C0FAA5" w:rsidR="005E5E7F" w:rsidRPr="00A75978" w:rsidRDefault="00552065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22" w:type="dxa"/>
            <w:vAlign w:val="center"/>
          </w:tcPr>
          <w:p w14:paraId="14240AD4" w14:textId="1B8384B0" w:rsidR="005E5E7F" w:rsidRPr="00A75978" w:rsidRDefault="00552065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447" w:type="dxa"/>
            <w:vAlign w:val="center"/>
          </w:tcPr>
          <w:p w14:paraId="45C02787" w14:textId="254CF9D1" w:rsidR="005E5E7F" w:rsidRPr="00A75978" w:rsidRDefault="005E5E7F" w:rsidP="005E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5E5E7F" w14:paraId="67F8E9A0" w14:textId="77777777" w:rsidTr="0082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B1658C8" w14:textId="4786690B" w:rsidR="005E5E7F" w:rsidRPr="00A75978" w:rsidRDefault="00552065" w:rsidP="005E5E7F">
            <w:r w:rsidRPr="00A75978">
              <w:rPr>
                <w:rFonts w:ascii="Calibri" w:hAnsi="Calibri" w:cs="Calibri"/>
                <w:color w:val="000000"/>
                <w:sz w:val="18"/>
                <w:szCs w:val="18"/>
              </w:rPr>
              <w:t>Accompanied/supported by family member/ friend/representative</w:t>
            </w:r>
          </w:p>
        </w:tc>
        <w:tc>
          <w:tcPr>
            <w:tcW w:w="1843" w:type="dxa"/>
            <w:vAlign w:val="center"/>
          </w:tcPr>
          <w:p w14:paraId="4358B36B" w14:textId="0EEBAE26" w:rsidR="005E5E7F" w:rsidRPr="00A75978" w:rsidRDefault="00552065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22" w:type="dxa"/>
            <w:vAlign w:val="center"/>
          </w:tcPr>
          <w:p w14:paraId="3CE7E3A4" w14:textId="10507E32" w:rsidR="005E5E7F" w:rsidRPr="00A75978" w:rsidRDefault="00552065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447" w:type="dxa"/>
            <w:vAlign w:val="center"/>
          </w:tcPr>
          <w:p w14:paraId="2714E744" w14:textId="04E06CC8" w:rsidR="005E5E7F" w:rsidRPr="00A75978" w:rsidRDefault="00552065" w:rsidP="005E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+7.6</w:t>
            </w:r>
            <w:r w:rsidR="005E5E7F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295608" w14:paraId="2B1FCC91" w14:textId="77777777" w:rsidTr="00825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3279BBB" w14:textId="46754146" w:rsidR="00295608" w:rsidRPr="00A75978" w:rsidRDefault="00552065" w:rsidP="00A7597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Mental Health</w:t>
            </w:r>
          </w:p>
        </w:tc>
        <w:tc>
          <w:tcPr>
            <w:tcW w:w="1843" w:type="dxa"/>
          </w:tcPr>
          <w:p w14:paraId="318E3165" w14:textId="68A8D56B" w:rsidR="00295608" w:rsidRPr="00A75978" w:rsidRDefault="00552065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22" w:type="dxa"/>
          </w:tcPr>
          <w:p w14:paraId="3709CF13" w14:textId="77C3AC77" w:rsidR="00295608" w:rsidRPr="00A75978" w:rsidRDefault="00552065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447" w:type="dxa"/>
          </w:tcPr>
          <w:p w14:paraId="0E59EE83" w14:textId="26632F65" w:rsidR="00295608" w:rsidRPr="00A75978" w:rsidRDefault="006179A7" w:rsidP="006E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6.2</w:t>
            </w:r>
            <w:r w:rsidR="00A157B0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247401" w14:paraId="0FBD13C4" w14:textId="77777777" w:rsidTr="0082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F79A42" w14:textId="3E72784B" w:rsidR="00247401" w:rsidRPr="00A75978" w:rsidRDefault="00247401" w:rsidP="00A7597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Other </w:t>
            </w:r>
          </w:p>
        </w:tc>
        <w:tc>
          <w:tcPr>
            <w:tcW w:w="1843" w:type="dxa"/>
            <w:vAlign w:val="center"/>
          </w:tcPr>
          <w:p w14:paraId="1EE5D009" w14:textId="2CE44D86" w:rsidR="00247401" w:rsidRPr="00A75978" w:rsidRDefault="00552065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22" w:type="dxa"/>
            <w:vAlign w:val="center"/>
          </w:tcPr>
          <w:p w14:paraId="716ABF0F" w14:textId="480325B8" w:rsidR="00247401" w:rsidRPr="00A75978" w:rsidRDefault="00552065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447" w:type="dxa"/>
            <w:vAlign w:val="center"/>
          </w:tcPr>
          <w:p w14:paraId="2730A1D4" w14:textId="2254B3C4" w:rsidR="00247401" w:rsidRPr="00A75978" w:rsidRDefault="00247401" w:rsidP="00247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19.5</w:t>
            </w: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tr w:rsidR="00247401" w14:paraId="4E9958DB" w14:textId="77777777" w:rsidTr="00825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AC0032" w14:textId="53613121" w:rsidR="00247401" w:rsidRPr="00A75978" w:rsidRDefault="00247401" w:rsidP="00A75978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auto"/>
                <w:sz w:val="20"/>
                <w:szCs w:val="20"/>
              </w:rPr>
              <w:t>Homeless</w:t>
            </w:r>
          </w:p>
        </w:tc>
        <w:tc>
          <w:tcPr>
            <w:tcW w:w="1843" w:type="dxa"/>
            <w:vAlign w:val="center"/>
          </w:tcPr>
          <w:p w14:paraId="58906EA1" w14:textId="494FBD6B" w:rsidR="00247401" w:rsidRPr="00A75978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2" w:type="dxa"/>
            <w:vAlign w:val="center"/>
          </w:tcPr>
          <w:p w14:paraId="37F108FB" w14:textId="0B01694B" w:rsidR="00247401" w:rsidRPr="00A75978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52065"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47" w:type="dxa"/>
            <w:vAlign w:val="center"/>
          </w:tcPr>
          <w:p w14:paraId="34F24DA4" w14:textId="506525D3" w:rsidR="00247401" w:rsidRPr="00A75978" w:rsidRDefault="00247401" w:rsidP="00247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+</w:t>
            </w:r>
            <w:r w:rsidR="00552065"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50.7</w:t>
            </w:r>
            <w:r w:rsidRPr="00A75978">
              <w:rPr>
                <w:rFonts w:ascii="Calibri" w:hAnsi="Calibri" w:cs="Calibri"/>
                <w:color w:val="2E653E" w:themeColor="accent5" w:themeShade="BF"/>
                <w:sz w:val="20"/>
                <w:szCs w:val="20"/>
              </w:rPr>
              <w:t>%</w:t>
            </w:r>
          </w:p>
        </w:tc>
      </w:tr>
      <w:bookmarkEnd w:id="0"/>
    </w:tbl>
    <w:p w14:paraId="19550EFD" w14:textId="77777777" w:rsidR="00C92219" w:rsidRDefault="00C92219" w:rsidP="00982CCA">
      <w:pPr>
        <w:pStyle w:val="Heading2"/>
      </w:pPr>
    </w:p>
    <w:p w14:paraId="1FD99AED" w14:textId="77777777" w:rsidR="00C92219" w:rsidRDefault="00C92219">
      <w:pPr>
        <w:rPr>
          <w:rFonts w:asciiTheme="majorHAnsi" w:eastAsiaTheme="majorEastAsia" w:hAnsiTheme="majorHAnsi"/>
          <w:color w:val="2683C6" w:themeColor="accent2"/>
          <w:sz w:val="28"/>
          <w:szCs w:val="28"/>
        </w:rPr>
      </w:pPr>
      <w:r>
        <w:br w:type="page"/>
      </w:r>
    </w:p>
    <w:p w14:paraId="7DC420AA" w14:textId="135FE49D" w:rsidR="00816688" w:rsidRDefault="00982CCA" w:rsidP="00982CCA">
      <w:pPr>
        <w:pStyle w:val="Heading2"/>
      </w:pPr>
      <w:r>
        <w:lastRenderedPageBreak/>
        <w:t xml:space="preserve">Duration of Interactions with </w:t>
      </w:r>
      <w:r w:rsidR="00F602E3">
        <w:t>Information Staff</w:t>
      </w:r>
    </w:p>
    <w:p w14:paraId="629F86FE" w14:textId="4F6C574C" w:rsidR="0085365E" w:rsidRDefault="00A64886" w:rsidP="00682913">
      <w:pPr>
        <w:jc w:val="both"/>
        <w:rPr>
          <w:sz w:val="22"/>
          <w:szCs w:val="22"/>
        </w:rPr>
      </w:pPr>
      <w:r>
        <w:rPr>
          <w:sz w:val="22"/>
          <w:szCs w:val="22"/>
        </w:rPr>
        <w:t>Forty-three per cent</w:t>
      </w:r>
      <w:r w:rsidR="007F45EF">
        <w:rPr>
          <w:sz w:val="22"/>
          <w:szCs w:val="22"/>
        </w:rPr>
        <w:t xml:space="preserve"> of </w:t>
      </w:r>
      <w:r>
        <w:rPr>
          <w:sz w:val="22"/>
          <w:szCs w:val="22"/>
        </w:rPr>
        <w:t>callers</w:t>
      </w:r>
      <w:r w:rsidR="00607CE2" w:rsidRPr="00726B8C">
        <w:rPr>
          <w:sz w:val="22"/>
          <w:szCs w:val="22"/>
        </w:rPr>
        <w:t xml:space="preserve"> </w:t>
      </w:r>
      <w:r w:rsidR="0076530D">
        <w:rPr>
          <w:sz w:val="22"/>
          <w:szCs w:val="22"/>
        </w:rPr>
        <w:t xml:space="preserve">spent </w:t>
      </w:r>
      <w:r w:rsidR="00607CE2" w:rsidRPr="00726B8C">
        <w:rPr>
          <w:sz w:val="22"/>
          <w:szCs w:val="22"/>
        </w:rPr>
        <w:t xml:space="preserve">10 minutes and </w:t>
      </w:r>
      <w:r w:rsidR="00FB5501" w:rsidRPr="00726B8C">
        <w:rPr>
          <w:sz w:val="22"/>
          <w:szCs w:val="22"/>
        </w:rPr>
        <w:t xml:space="preserve">under </w:t>
      </w:r>
      <w:r w:rsidR="00FB5501">
        <w:rPr>
          <w:sz w:val="22"/>
          <w:szCs w:val="22"/>
        </w:rPr>
        <w:t>with</w:t>
      </w:r>
      <w:r w:rsidR="0085365E">
        <w:rPr>
          <w:sz w:val="22"/>
          <w:szCs w:val="22"/>
        </w:rPr>
        <w:t xml:space="preserve"> </w:t>
      </w:r>
      <w:r w:rsidR="00F602E3">
        <w:rPr>
          <w:sz w:val="22"/>
          <w:szCs w:val="22"/>
        </w:rPr>
        <w:t>information</w:t>
      </w:r>
      <w:r w:rsidR="00552065">
        <w:rPr>
          <w:sz w:val="22"/>
          <w:szCs w:val="22"/>
        </w:rPr>
        <w:t xml:space="preserve"> providers</w:t>
      </w:r>
      <w:r w:rsidR="00607CE2" w:rsidRPr="00726B8C">
        <w:rPr>
          <w:sz w:val="22"/>
          <w:szCs w:val="22"/>
        </w:rPr>
        <w:t>.</w:t>
      </w:r>
      <w:r w:rsidR="00B85DEA" w:rsidRPr="00726B8C">
        <w:rPr>
          <w:sz w:val="22"/>
          <w:szCs w:val="22"/>
        </w:rPr>
        <w:t xml:space="preserve"> </w:t>
      </w:r>
      <w:r w:rsidR="0085365E">
        <w:rPr>
          <w:sz w:val="22"/>
          <w:szCs w:val="22"/>
        </w:rPr>
        <w:t xml:space="preserve">This compares with </w:t>
      </w:r>
      <w:r w:rsidR="00B85DEA" w:rsidRPr="00726B8C">
        <w:rPr>
          <w:sz w:val="22"/>
          <w:szCs w:val="22"/>
        </w:rPr>
        <w:t>3</w:t>
      </w:r>
      <w:r w:rsidR="007F45EF">
        <w:rPr>
          <w:sz w:val="22"/>
          <w:szCs w:val="22"/>
        </w:rPr>
        <w:t>7.4</w:t>
      </w:r>
      <w:r w:rsidR="00B85DEA" w:rsidRPr="00726B8C">
        <w:rPr>
          <w:sz w:val="22"/>
          <w:szCs w:val="22"/>
        </w:rPr>
        <w:t xml:space="preserve">% of callers </w:t>
      </w:r>
      <w:r w:rsidR="0085365E">
        <w:rPr>
          <w:sz w:val="22"/>
          <w:szCs w:val="22"/>
        </w:rPr>
        <w:t>who spent</w:t>
      </w:r>
      <w:r w:rsidR="0085365E" w:rsidRPr="00726B8C">
        <w:rPr>
          <w:sz w:val="22"/>
          <w:szCs w:val="22"/>
        </w:rPr>
        <w:t xml:space="preserve"> </w:t>
      </w:r>
      <w:r w:rsidR="009B003B" w:rsidRPr="00726B8C">
        <w:rPr>
          <w:sz w:val="22"/>
          <w:szCs w:val="22"/>
        </w:rPr>
        <w:t>11-20 minutes</w:t>
      </w:r>
      <w:r>
        <w:rPr>
          <w:sz w:val="22"/>
          <w:szCs w:val="22"/>
        </w:rPr>
        <w:t xml:space="preserve"> with an information provider</w:t>
      </w:r>
      <w:r w:rsidR="009A57DE">
        <w:rPr>
          <w:sz w:val="22"/>
          <w:szCs w:val="22"/>
        </w:rPr>
        <w:t>,</w:t>
      </w:r>
      <w:r w:rsidR="00D22805">
        <w:rPr>
          <w:sz w:val="22"/>
          <w:szCs w:val="22"/>
        </w:rPr>
        <w:t xml:space="preserve"> </w:t>
      </w:r>
      <w:r w:rsidR="009B003B" w:rsidRPr="00726B8C">
        <w:rPr>
          <w:sz w:val="22"/>
          <w:szCs w:val="22"/>
        </w:rPr>
        <w:t>1</w:t>
      </w:r>
      <w:r w:rsidR="00552065">
        <w:rPr>
          <w:sz w:val="22"/>
          <w:szCs w:val="22"/>
        </w:rPr>
        <w:t>5.8</w:t>
      </w:r>
      <w:r w:rsidR="009B003B" w:rsidRPr="00726B8C">
        <w:rPr>
          <w:sz w:val="22"/>
          <w:szCs w:val="22"/>
        </w:rPr>
        <w:t xml:space="preserve">% </w:t>
      </w:r>
      <w:r w:rsidR="0085365E">
        <w:rPr>
          <w:sz w:val="22"/>
          <w:szCs w:val="22"/>
        </w:rPr>
        <w:t>spending</w:t>
      </w:r>
      <w:r w:rsidR="0085365E" w:rsidRPr="00726B8C">
        <w:rPr>
          <w:sz w:val="22"/>
          <w:szCs w:val="22"/>
        </w:rPr>
        <w:t xml:space="preserve"> </w:t>
      </w:r>
      <w:r w:rsidR="006A04AD" w:rsidRPr="00726B8C">
        <w:rPr>
          <w:sz w:val="22"/>
          <w:szCs w:val="22"/>
        </w:rPr>
        <w:t>21-40 minutes</w:t>
      </w:r>
      <w:r w:rsidR="00D22805">
        <w:rPr>
          <w:sz w:val="22"/>
          <w:szCs w:val="22"/>
        </w:rPr>
        <w:t>, and 3.</w:t>
      </w:r>
      <w:r w:rsidR="00552065">
        <w:rPr>
          <w:sz w:val="22"/>
          <w:szCs w:val="22"/>
        </w:rPr>
        <w:t>3</w:t>
      </w:r>
      <w:r w:rsidR="00D22805">
        <w:rPr>
          <w:sz w:val="22"/>
          <w:szCs w:val="22"/>
        </w:rPr>
        <w:t>% who spent</w:t>
      </w:r>
      <w:r w:rsidR="0085365E">
        <w:rPr>
          <w:sz w:val="22"/>
          <w:szCs w:val="22"/>
        </w:rPr>
        <w:t xml:space="preserve"> </w:t>
      </w:r>
      <w:r w:rsidR="00EA1DE1" w:rsidRPr="00726B8C">
        <w:rPr>
          <w:sz w:val="22"/>
          <w:szCs w:val="22"/>
        </w:rPr>
        <w:t>41</w:t>
      </w:r>
      <w:r w:rsidR="0085365E">
        <w:rPr>
          <w:sz w:val="22"/>
          <w:szCs w:val="22"/>
        </w:rPr>
        <w:t>-90 minutes</w:t>
      </w:r>
      <w:r w:rsidR="00586C6E">
        <w:rPr>
          <w:sz w:val="22"/>
          <w:szCs w:val="22"/>
        </w:rPr>
        <w:t xml:space="preserve"> -</w:t>
      </w:r>
      <w:r w:rsidR="0085365E">
        <w:rPr>
          <w:sz w:val="22"/>
          <w:szCs w:val="22"/>
        </w:rPr>
        <w:t xml:space="preserve"> or</w:t>
      </w:r>
      <w:r w:rsidR="00EA1DE1" w:rsidRPr="00726B8C">
        <w:rPr>
          <w:sz w:val="22"/>
          <w:szCs w:val="22"/>
        </w:rPr>
        <w:t xml:space="preserve"> </w:t>
      </w:r>
      <w:r w:rsidR="00D22805">
        <w:rPr>
          <w:sz w:val="22"/>
          <w:szCs w:val="22"/>
        </w:rPr>
        <w:t xml:space="preserve">in </w:t>
      </w:r>
      <w:r w:rsidR="00407A25">
        <w:rPr>
          <w:sz w:val="22"/>
          <w:szCs w:val="22"/>
        </w:rPr>
        <w:t>a small number of</w:t>
      </w:r>
      <w:r w:rsidR="00D22805">
        <w:rPr>
          <w:sz w:val="22"/>
          <w:szCs w:val="22"/>
        </w:rPr>
        <w:t xml:space="preserve"> cases </w:t>
      </w:r>
      <w:r w:rsidR="00EA1DE1" w:rsidRPr="00726B8C">
        <w:rPr>
          <w:sz w:val="22"/>
          <w:szCs w:val="22"/>
        </w:rPr>
        <w:t xml:space="preserve">over </w:t>
      </w:r>
      <w:r w:rsidR="0085365E" w:rsidRPr="00726B8C">
        <w:rPr>
          <w:sz w:val="22"/>
          <w:szCs w:val="22"/>
        </w:rPr>
        <w:t>9</w:t>
      </w:r>
      <w:r w:rsidR="0085365E">
        <w:rPr>
          <w:sz w:val="22"/>
          <w:szCs w:val="22"/>
        </w:rPr>
        <w:t>0</w:t>
      </w:r>
      <w:r w:rsidR="0085365E" w:rsidRPr="00726B8C">
        <w:rPr>
          <w:sz w:val="22"/>
          <w:szCs w:val="22"/>
        </w:rPr>
        <w:t xml:space="preserve"> </w:t>
      </w:r>
      <w:r w:rsidR="00FA7285" w:rsidRPr="00726B8C">
        <w:rPr>
          <w:sz w:val="22"/>
          <w:szCs w:val="22"/>
        </w:rPr>
        <w:t>minutes</w:t>
      </w:r>
      <w:r w:rsidR="00FA7285">
        <w:rPr>
          <w:sz w:val="22"/>
          <w:szCs w:val="22"/>
        </w:rPr>
        <w:t>.</w:t>
      </w:r>
      <w:r w:rsidR="0085365E">
        <w:rPr>
          <w:sz w:val="22"/>
          <w:szCs w:val="22"/>
        </w:rPr>
        <w:t xml:space="preserve"> </w:t>
      </w:r>
      <w:r w:rsidR="00FA7285">
        <w:rPr>
          <w:sz w:val="22"/>
          <w:szCs w:val="22"/>
        </w:rPr>
        <w:t xml:space="preserve">The number of </w:t>
      </w:r>
      <w:r>
        <w:rPr>
          <w:sz w:val="22"/>
          <w:szCs w:val="22"/>
        </w:rPr>
        <w:t>interactions that</w:t>
      </w:r>
      <w:r w:rsidR="00FA7285">
        <w:rPr>
          <w:sz w:val="22"/>
          <w:szCs w:val="22"/>
        </w:rPr>
        <w:t xml:space="preserve"> lasted more than 90 minutes more than doubled between Q4 2023 and Q4 2024.</w:t>
      </w:r>
    </w:p>
    <w:p w14:paraId="5F2B69F5" w14:textId="2F8B504A" w:rsidR="006A2FF0" w:rsidRDefault="006A2FF0" w:rsidP="007B6918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7B6918">
        <w:rPr>
          <w:rFonts w:eastAsia="Times New Roman"/>
          <w:b/>
          <w:sz w:val="24"/>
          <w:szCs w:val="24"/>
          <w:lang w:eastAsia="en-IE"/>
        </w:rPr>
        <w:t xml:space="preserve">Chart 1: </w:t>
      </w:r>
      <w:r w:rsidRPr="00FA7285">
        <w:rPr>
          <w:rFonts w:eastAsia="Times New Roman"/>
          <w:b/>
          <w:sz w:val="24"/>
          <w:szCs w:val="24"/>
          <w:lang w:eastAsia="en-IE"/>
        </w:rPr>
        <w:t xml:space="preserve">Time </w:t>
      </w:r>
      <w:r w:rsidR="00407A25" w:rsidRPr="00FA7285">
        <w:rPr>
          <w:rFonts w:eastAsia="Times New Roman"/>
          <w:b/>
          <w:sz w:val="24"/>
          <w:szCs w:val="24"/>
          <w:lang w:eastAsia="en-IE"/>
        </w:rPr>
        <w:t>s</w:t>
      </w:r>
      <w:r w:rsidRPr="00FA7285">
        <w:rPr>
          <w:rFonts w:eastAsia="Times New Roman"/>
          <w:b/>
          <w:sz w:val="24"/>
          <w:szCs w:val="24"/>
          <w:lang w:eastAsia="en-IE"/>
        </w:rPr>
        <w:t xml:space="preserve">pent with </w:t>
      </w:r>
      <w:r w:rsidR="00586C6E" w:rsidRPr="00FA7285">
        <w:rPr>
          <w:rFonts w:eastAsia="Times New Roman"/>
          <w:b/>
          <w:sz w:val="24"/>
          <w:szCs w:val="24"/>
          <w:lang w:eastAsia="en-IE"/>
        </w:rPr>
        <w:t>information staff</w:t>
      </w:r>
    </w:p>
    <w:p w14:paraId="18F19786" w14:textId="767BCBC4" w:rsidR="00B73680" w:rsidRDefault="00FA7285" w:rsidP="00247401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6450768" wp14:editId="105FAD2B">
            <wp:extent cx="5550011" cy="2743200"/>
            <wp:effectExtent l="0" t="0" r="12700" b="0"/>
            <wp:docPr id="17126639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DBCE840-3F29-ACDE-7288-4F6143888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22FA1F" w14:textId="77777777" w:rsidR="00982CCA" w:rsidRDefault="00982CCA" w:rsidP="00982CCA">
      <w:pPr>
        <w:pStyle w:val="Heading2"/>
      </w:pPr>
    </w:p>
    <w:p w14:paraId="458F1038" w14:textId="71328185" w:rsidR="00982CCA" w:rsidRDefault="00982CCA" w:rsidP="00982CCA">
      <w:pPr>
        <w:pStyle w:val="Heading2"/>
      </w:pPr>
      <w:r>
        <w:t xml:space="preserve">Most frequent queries (payments/schemes) by time spent with an </w:t>
      </w:r>
      <w:r w:rsidR="00586C6E">
        <w:t>information provider</w:t>
      </w:r>
    </w:p>
    <w:p w14:paraId="42CC74FC" w14:textId="250C99DE" w:rsidR="00982CCA" w:rsidRPr="00982CCA" w:rsidRDefault="00982CCA" w:rsidP="00AE7CE9">
      <w:pPr>
        <w:jc w:val="both"/>
        <w:rPr>
          <w:sz w:val="22"/>
          <w:szCs w:val="22"/>
        </w:rPr>
      </w:pPr>
      <w:r w:rsidRPr="00982CCA">
        <w:rPr>
          <w:sz w:val="22"/>
          <w:szCs w:val="22"/>
        </w:rPr>
        <w:t>Table 7 gives some indication of the complexity of queries relating to various payments and schemes</w:t>
      </w:r>
      <w:r>
        <w:rPr>
          <w:sz w:val="22"/>
          <w:szCs w:val="22"/>
        </w:rPr>
        <w:t xml:space="preserve">, according to time spent with </w:t>
      </w:r>
      <w:r w:rsidR="00AE7CE9">
        <w:rPr>
          <w:sz w:val="22"/>
          <w:szCs w:val="22"/>
        </w:rPr>
        <w:t>information staff.</w:t>
      </w:r>
    </w:p>
    <w:p w14:paraId="1ED58ABF" w14:textId="3099410A" w:rsidR="00B73680" w:rsidRPr="00982CCA" w:rsidRDefault="00EE6517" w:rsidP="00C92219">
      <w:pPr>
        <w:pStyle w:val="Heading3"/>
        <w:rPr>
          <w:rFonts w:eastAsia="Times New Roman"/>
          <w:lang w:eastAsia="en-IE"/>
        </w:rPr>
      </w:pPr>
      <w:r w:rsidRPr="00982CCA">
        <w:rPr>
          <w:rFonts w:eastAsia="Times New Roman"/>
          <w:lang w:eastAsia="en-IE"/>
        </w:rPr>
        <w:t xml:space="preserve">Table 7: Top payments/ schemes </w:t>
      </w:r>
      <w:r w:rsidR="00982CCA">
        <w:rPr>
          <w:rFonts w:eastAsia="Times New Roman"/>
          <w:lang w:eastAsia="en-IE"/>
        </w:rPr>
        <w:t>by</w:t>
      </w:r>
      <w:r w:rsidRPr="00982CCA">
        <w:rPr>
          <w:rFonts w:eastAsia="Times New Roman"/>
          <w:lang w:eastAsia="en-IE"/>
        </w:rPr>
        <w:t xml:space="preserve"> time spent</w:t>
      </w:r>
      <w:r w:rsidR="0024193D" w:rsidRPr="00982CCA">
        <w:rPr>
          <w:rFonts w:eastAsia="Times New Roman"/>
          <w:lang w:eastAsia="en-IE"/>
        </w:rPr>
        <w:t xml:space="preserve"> 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159"/>
        <w:gridCol w:w="2367"/>
        <w:gridCol w:w="2268"/>
        <w:gridCol w:w="2694"/>
      </w:tblGrid>
      <w:tr w:rsidR="00A11901" w:rsidRPr="00A11901" w14:paraId="1BA24025" w14:textId="77777777" w:rsidTr="00825AD0">
        <w:trPr>
          <w:trHeight w:val="281"/>
        </w:trPr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7B75D98" w14:textId="77777777" w:rsidR="00A11901" w:rsidRPr="00A11901" w:rsidRDefault="00A11901" w:rsidP="00A119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n-IE"/>
              </w:rPr>
            </w:pPr>
            <w:r w:rsidRPr="00A11901">
              <w:rPr>
                <w:rFonts w:eastAsia="Times New Roman"/>
                <w:b/>
                <w:bCs/>
                <w:color w:val="FFFFFF" w:themeColor="background1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236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108E5049" w14:textId="77777777" w:rsidR="00A11901" w:rsidRPr="00A75978" w:rsidRDefault="00A11901" w:rsidP="00EE651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EAABF9C" w14:textId="77777777" w:rsidR="00A11901" w:rsidRPr="00A75978" w:rsidRDefault="00A11901" w:rsidP="00EE651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37859B44" w14:textId="77777777" w:rsidR="00A11901" w:rsidRPr="00A75978" w:rsidRDefault="00A11901" w:rsidP="00EE6517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7597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A11901" w:rsidRPr="00A11901" w14:paraId="747A5567" w14:textId="77777777" w:rsidTr="00825AD0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3A838703" w14:textId="26AD7214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 xml:space="preserve">10 minutes </w:t>
            </w:r>
            <w:r w:rsidR="00982CCA" w:rsidRPr="00C92219">
              <w:rPr>
                <w:rFonts w:eastAsia="Times New Roman"/>
                <w:sz w:val="20"/>
                <w:szCs w:val="20"/>
                <w:lang w:eastAsia="en-IE"/>
              </w:rPr>
              <w:t xml:space="preserve">&amp; </w:t>
            </w: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under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2DF4113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9D05E94" w14:textId="77777777" w:rsidR="00A11901" w:rsidRPr="00A11901" w:rsidRDefault="00A11901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9C92417" w14:textId="67FB8577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Disability</w:t>
            </w:r>
            <w:r w:rsidR="00A11901" w:rsidRPr="00A11901">
              <w:rPr>
                <w:rFonts w:eastAsia="Times New Roman"/>
                <w:sz w:val="20"/>
                <w:szCs w:val="20"/>
                <w:lang w:eastAsia="en-IE"/>
              </w:rPr>
              <w:t xml:space="preserve"> Allowance</w:t>
            </w:r>
          </w:p>
        </w:tc>
      </w:tr>
      <w:tr w:rsidR="00A11901" w:rsidRPr="00A11901" w14:paraId="725AB93E" w14:textId="77777777" w:rsidTr="00825AD0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42B4276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11-20 minutes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AA16E06" w14:textId="0082D129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E06CF1E" w14:textId="74F06061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644A429" w14:textId="506D2383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State Pension/ Contributory</w:t>
            </w:r>
          </w:p>
        </w:tc>
      </w:tr>
      <w:tr w:rsidR="00A11901" w:rsidRPr="00A11901" w14:paraId="141232F7" w14:textId="77777777" w:rsidTr="00825AD0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D81857F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21-40 minutes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CEB2A4A" w14:textId="2825A448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4C2017F" w14:textId="57B84435" w:rsidR="00A11901" w:rsidRPr="00982CCA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Disability</w:t>
            </w:r>
            <w:r w:rsidRPr="00A11901">
              <w:rPr>
                <w:rFonts w:eastAsia="Times New Roman"/>
                <w:sz w:val="20"/>
                <w:szCs w:val="20"/>
                <w:lang w:eastAsia="en-IE"/>
              </w:rPr>
              <w:t xml:space="preserve"> Allowance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1C029D9" w14:textId="1C8F6FE1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825AD0">
              <w:rPr>
                <w:rFonts w:eastAsia="Times New Roman"/>
                <w:sz w:val="20"/>
                <w:szCs w:val="20"/>
                <w:lang w:eastAsia="en-IE"/>
              </w:rPr>
              <w:t>Applying for Local Authority/Social Housing</w:t>
            </w:r>
          </w:p>
        </w:tc>
      </w:tr>
      <w:tr w:rsidR="00552065" w:rsidRPr="00A11901" w14:paraId="75CAA31A" w14:textId="77777777" w:rsidTr="00825AD0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939EC00" w14:textId="77777777" w:rsidR="00552065" w:rsidRPr="00C92219" w:rsidRDefault="00552065" w:rsidP="005520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41-90 minutes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5E1F6D4D" w14:textId="51F26A41" w:rsidR="00552065" w:rsidRPr="00A11901" w:rsidRDefault="00552065" w:rsidP="0055206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825AD0">
              <w:rPr>
                <w:rFonts w:eastAsia="Times New Roman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76B110BD" w14:textId="6B439562" w:rsidR="00552065" w:rsidRPr="00A11901" w:rsidRDefault="00552065" w:rsidP="0055206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vAlign w:val="center"/>
            <w:hideMark/>
          </w:tcPr>
          <w:p w14:paraId="01DC26D6" w14:textId="568A947F" w:rsidR="00552065" w:rsidRPr="00982CCA" w:rsidRDefault="00552065" w:rsidP="0055206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</w:tr>
      <w:tr w:rsidR="00A11901" w:rsidRPr="00A11901" w14:paraId="50D9B05B" w14:textId="77777777" w:rsidTr="00825AD0">
        <w:trPr>
          <w:trHeight w:val="516"/>
        </w:trPr>
        <w:tc>
          <w:tcPr>
            <w:tcW w:w="215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79E00199" w14:textId="77777777" w:rsidR="00A11901" w:rsidRPr="00C92219" w:rsidRDefault="00A11901" w:rsidP="00C9221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C92219">
              <w:rPr>
                <w:rFonts w:eastAsia="Times New Roman"/>
                <w:sz w:val="20"/>
                <w:szCs w:val="20"/>
                <w:lang w:eastAsia="en-IE"/>
              </w:rPr>
              <w:t>91 minutes and over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1AA43BE" w14:textId="320D560A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BF59EED" w14:textId="10A0939F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A11901">
              <w:rPr>
                <w:rFonts w:eastAsia="Times New Roman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8DEA7D7" w14:textId="25264E2D" w:rsidR="00A11901" w:rsidRPr="00A11901" w:rsidRDefault="00552065" w:rsidP="00A1190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GP Visit Card</w:t>
            </w:r>
          </w:p>
        </w:tc>
      </w:tr>
    </w:tbl>
    <w:p w14:paraId="4A9BF264" w14:textId="611B2CFD" w:rsidR="00696110" w:rsidRPr="00982CCA" w:rsidRDefault="00586C6E" w:rsidP="00586C6E">
      <w:pPr>
        <w:pStyle w:val="Heading1"/>
      </w:pPr>
      <w:r>
        <w:t>Q</w:t>
      </w:r>
      <w:r w:rsidR="00696110" w:rsidRPr="00982CCA">
        <w:t xml:space="preserve">uery Summary </w:t>
      </w:r>
    </w:p>
    <w:p w14:paraId="5BAEC676" w14:textId="0A5DCDBD" w:rsidR="00696110" w:rsidRPr="00C92219" w:rsidRDefault="00696110" w:rsidP="00696110">
      <w:pPr>
        <w:shd w:val="clear" w:color="auto" w:fill="FFFFFF" w:themeFill="background1"/>
        <w:jc w:val="both"/>
        <w:rPr>
          <w:sz w:val="22"/>
          <w:szCs w:val="22"/>
        </w:rPr>
      </w:pPr>
      <w:r w:rsidRPr="00726B8C">
        <w:rPr>
          <w:sz w:val="22"/>
          <w:szCs w:val="22"/>
        </w:rPr>
        <w:t xml:space="preserve">Services dealt with </w:t>
      </w:r>
      <w:r w:rsidRPr="00726B8C">
        <w:rPr>
          <w:b/>
          <w:sz w:val="22"/>
          <w:szCs w:val="22"/>
        </w:rPr>
        <w:t>1</w:t>
      </w:r>
      <w:r w:rsidR="00B40796">
        <w:rPr>
          <w:b/>
          <w:sz w:val="22"/>
          <w:szCs w:val="22"/>
        </w:rPr>
        <w:t>70,303</w:t>
      </w:r>
      <w:r w:rsidRPr="00726B8C">
        <w:rPr>
          <w:sz w:val="22"/>
          <w:szCs w:val="22"/>
        </w:rPr>
        <w:t xml:space="preserve"> queries during Q</w:t>
      </w:r>
      <w:r w:rsidR="00B40796">
        <w:rPr>
          <w:sz w:val="22"/>
          <w:szCs w:val="22"/>
        </w:rPr>
        <w:t>4</w:t>
      </w:r>
      <w:r w:rsidRPr="00726B8C">
        <w:rPr>
          <w:sz w:val="22"/>
          <w:szCs w:val="22"/>
        </w:rPr>
        <w:t xml:space="preserve"> 2024, a </w:t>
      </w:r>
      <w:r w:rsidR="00A64886">
        <w:rPr>
          <w:sz w:val="22"/>
          <w:szCs w:val="22"/>
        </w:rPr>
        <w:t xml:space="preserve">small </w:t>
      </w:r>
      <w:r w:rsidRPr="00C92219">
        <w:rPr>
          <w:sz w:val="22"/>
          <w:szCs w:val="22"/>
        </w:rPr>
        <w:t xml:space="preserve">decrease of </w:t>
      </w:r>
      <w:r w:rsidR="00B40796">
        <w:rPr>
          <w:sz w:val="22"/>
          <w:szCs w:val="22"/>
        </w:rPr>
        <w:t>3.2</w:t>
      </w:r>
      <w:r w:rsidRPr="00C92219">
        <w:rPr>
          <w:sz w:val="22"/>
          <w:szCs w:val="22"/>
        </w:rPr>
        <w:t>%</w:t>
      </w:r>
      <w:r w:rsidRPr="00726B8C">
        <w:rPr>
          <w:sz w:val="22"/>
          <w:szCs w:val="22"/>
        </w:rPr>
        <w:t xml:space="preserve"> on the same period in 2023</w:t>
      </w:r>
      <w:r>
        <w:rPr>
          <w:sz w:val="22"/>
          <w:szCs w:val="22"/>
        </w:rPr>
        <w:t>.</w:t>
      </w:r>
      <w:r w:rsidRPr="00726B8C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caller to query ratio </w:t>
      </w:r>
      <w:r w:rsidR="00B40796">
        <w:rPr>
          <w:sz w:val="22"/>
          <w:szCs w:val="22"/>
        </w:rPr>
        <w:t>remained the same at 1.93</w:t>
      </w:r>
      <w:r w:rsidR="00A64886">
        <w:rPr>
          <w:sz w:val="22"/>
          <w:szCs w:val="22"/>
        </w:rPr>
        <w:t xml:space="preserve"> queries per caller per visit</w:t>
      </w:r>
      <w:r w:rsidRPr="00726B8C">
        <w:rPr>
          <w:sz w:val="22"/>
          <w:szCs w:val="22"/>
        </w:rPr>
        <w:t xml:space="preserve">.  </w:t>
      </w:r>
      <w:r w:rsidR="00B40796">
        <w:rPr>
          <w:sz w:val="22"/>
          <w:szCs w:val="22"/>
        </w:rPr>
        <w:t>Around</w:t>
      </w:r>
      <w:r w:rsidRPr="00726B8C">
        <w:rPr>
          <w:sz w:val="22"/>
          <w:szCs w:val="22"/>
        </w:rPr>
        <w:t xml:space="preserve"> 4</w:t>
      </w:r>
      <w:r w:rsidR="00B40796">
        <w:rPr>
          <w:sz w:val="22"/>
          <w:szCs w:val="22"/>
        </w:rPr>
        <w:t>6</w:t>
      </w:r>
      <w:r w:rsidRPr="00726B8C">
        <w:rPr>
          <w:sz w:val="22"/>
          <w:szCs w:val="22"/>
        </w:rPr>
        <w:t xml:space="preserve">% of queries were related to </w:t>
      </w:r>
      <w:r w:rsidR="00B40796">
        <w:rPr>
          <w:sz w:val="22"/>
          <w:szCs w:val="22"/>
        </w:rPr>
        <w:t>S</w:t>
      </w:r>
      <w:r w:rsidRPr="00726B8C">
        <w:rPr>
          <w:sz w:val="22"/>
          <w:szCs w:val="22"/>
        </w:rPr>
        <w:t xml:space="preserve">ocial </w:t>
      </w:r>
      <w:r w:rsidR="00B40796">
        <w:rPr>
          <w:sz w:val="22"/>
          <w:szCs w:val="22"/>
        </w:rPr>
        <w:t>W</w:t>
      </w:r>
      <w:r w:rsidRPr="00726B8C">
        <w:rPr>
          <w:sz w:val="22"/>
          <w:szCs w:val="22"/>
        </w:rPr>
        <w:t>elfare rights and entitlements. Housing queries accounted for 1</w:t>
      </w:r>
      <w:r w:rsidR="00B40796">
        <w:rPr>
          <w:sz w:val="22"/>
          <w:szCs w:val="22"/>
        </w:rPr>
        <w:t>0.7</w:t>
      </w:r>
      <w:r w:rsidRPr="00726B8C">
        <w:rPr>
          <w:sz w:val="22"/>
          <w:szCs w:val="22"/>
        </w:rPr>
        <w:t>% and Health for 8% of queries.</w:t>
      </w:r>
      <w:r w:rsidRPr="00726B8C">
        <w:t xml:space="preserve"> </w:t>
      </w:r>
      <w:r w:rsidRPr="00C92219">
        <w:rPr>
          <w:sz w:val="22"/>
          <w:szCs w:val="22"/>
        </w:rPr>
        <w:t xml:space="preserve">Table 8, below, sets out the number of queries received across ‘parent’ category areas in Quarter </w:t>
      </w:r>
      <w:r w:rsidR="00B40796">
        <w:rPr>
          <w:sz w:val="22"/>
          <w:szCs w:val="22"/>
        </w:rPr>
        <w:t>4</w:t>
      </w:r>
      <w:r w:rsidRPr="00C92219">
        <w:rPr>
          <w:sz w:val="22"/>
          <w:szCs w:val="22"/>
        </w:rPr>
        <w:t xml:space="preserve"> 2024.  Table 9 provides a breakdown of the most queried single payments, schemes or entitlements in Quarter </w:t>
      </w:r>
      <w:r w:rsidR="00B40796">
        <w:rPr>
          <w:sz w:val="22"/>
          <w:szCs w:val="22"/>
        </w:rPr>
        <w:t>4</w:t>
      </w:r>
      <w:r w:rsidRPr="00C92219">
        <w:rPr>
          <w:sz w:val="22"/>
          <w:szCs w:val="22"/>
        </w:rPr>
        <w:t xml:space="preserve"> 2024.</w:t>
      </w:r>
    </w:p>
    <w:p w14:paraId="4A16726B" w14:textId="619C9409" w:rsidR="00942712" w:rsidRPr="00586C6E" w:rsidRDefault="00942712" w:rsidP="00586C6E">
      <w:pPr>
        <w:pStyle w:val="Heading3"/>
      </w:pPr>
      <w:r w:rsidRPr="00586C6E">
        <w:lastRenderedPageBreak/>
        <w:t xml:space="preserve">Table </w:t>
      </w:r>
      <w:r w:rsidR="00EE6517" w:rsidRPr="00586C6E">
        <w:t>8</w:t>
      </w:r>
      <w:r w:rsidRPr="00586C6E">
        <w:t xml:space="preserve"> - Query Profile</w:t>
      </w:r>
      <w:r w:rsidR="00111C28" w:rsidRPr="00586C6E">
        <w:t xml:space="preserve"> by ‘parent’ category</w:t>
      </w:r>
      <w:r w:rsidRPr="00586C6E">
        <w:t xml:space="preserve"> </w:t>
      </w:r>
    </w:p>
    <w:tbl>
      <w:tblPr>
        <w:tblStyle w:val="GridTable5Dark-Accent6"/>
        <w:tblW w:w="9067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114"/>
        <w:gridCol w:w="1417"/>
        <w:gridCol w:w="1985"/>
        <w:gridCol w:w="2551"/>
      </w:tblGrid>
      <w:tr w:rsidR="003D7437" w:rsidRPr="00726B8C" w14:paraId="4B33B67E" w14:textId="03434A19" w:rsidTr="00A7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A304AFC" w14:textId="77777777" w:rsidR="003D7437" w:rsidRPr="00A75978" w:rsidRDefault="003D7437" w:rsidP="00A75978">
            <w:pPr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Query Category</w:t>
            </w:r>
          </w:p>
        </w:tc>
        <w:tc>
          <w:tcPr>
            <w:tcW w:w="1417" w:type="dxa"/>
            <w:hideMark/>
          </w:tcPr>
          <w:p w14:paraId="09B996C4" w14:textId="77777777" w:rsidR="003D7437" w:rsidRPr="00A75978" w:rsidRDefault="003D7437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# of Queries</w:t>
            </w:r>
          </w:p>
        </w:tc>
        <w:tc>
          <w:tcPr>
            <w:tcW w:w="1985" w:type="dxa"/>
            <w:hideMark/>
          </w:tcPr>
          <w:p w14:paraId="2FD9A24A" w14:textId="77777777" w:rsidR="003D7437" w:rsidRPr="00A75978" w:rsidRDefault="003D7437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of all Queries</w:t>
            </w:r>
          </w:p>
        </w:tc>
        <w:tc>
          <w:tcPr>
            <w:tcW w:w="2551" w:type="dxa"/>
          </w:tcPr>
          <w:p w14:paraId="477E44AC" w14:textId="2C6B979A" w:rsidR="003D7437" w:rsidRPr="00A75978" w:rsidRDefault="00EC3980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Change</w:t>
            </w:r>
            <w:r w:rsidR="00111C28" w:rsidRPr="00A75978">
              <w:rPr>
                <w:rFonts w:ascii="Calibri" w:hAnsi="Calibri" w:cs="Calibri"/>
                <w:color w:val="000000" w:themeColor="text1"/>
              </w:rPr>
              <w:t xml:space="preserve"> Q</w:t>
            </w:r>
            <w:r w:rsidR="00B40796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="00111C28" w:rsidRPr="00A75978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B40796" w:rsidRPr="00A75978">
              <w:rPr>
                <w:rFonts w:ascii="Calibri" w:hAnsi="Calibri" w:cs="Calibri"/>
                <w:color w:val="000000" w:themeColor="text1"/>
              </w:rPr>
              <w:t>‘</w:t>
            </w:r>
            <w:r w:rsidR="00111C28" w:rsidRPr="00A75978">
              <w:rPr>
                <w:rFonts w:ascii="Calibri" w:hAnsi="Calibri" w:cs="Calibri"/>
                <w:color w:val="000000" w:themeColor="text1"/>
              </w:rPr>
              <w:t>23-Q</w:t>
            </w:r>
            <w:r w:rsidR="00BD78C9" w:rsidRPr="00A75978">
              <w:rPr>
                <w:rFonts w:ascii="Calibri" w:hAnsi="Calibri" w:cs="Calibri"/>
                <w:color w:val="000000" w:themeColor="text1"/>
              </w:rPr>
              <w:t>4</w:t>
            </w:r>
            <w:r w:rsidR="00111C28" w:rsidRPr="00A7597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40796" w:rsidRPr="00A75978">
              <w:rPr>
                <w:rFonts w:ascii="Calibri" w:hAnsi="Calibri" w:cs="Calibri"/>
                <w:color w:val="000000" w:themeColor="text1"/>
              </w:rPr>
              <w:t>‘</w:t>
            </w:r>
            <w:r w:rsidR="00111C28" w:rsidRPr="00A75978">
              <w:rPr>
                <w:rFonts w:ascii="Calibri" w:hAnsi="Calibri" w:cs="Calibri"/>
                <w:color w:val="000000" w:themeColor="text1"/>
              </w:rPr>
              <w:t>24</w:t>
            </w:r>
          </w:p>
        </w:tc>
      </w:tr>
      <w:tr w:rsidR="004245A9" w:rsidRPr="00726B8C" w14:paraId="6A2A191A" w14:textId="521D5F0A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19ECCFCD" w14:textId="1FC05C09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Social Welfare</w:t>
            </w:r>
          </w:p>
        </w:tc>
        <w:tc>
          <w:tcPr>
            <w:tcW w:w="1417" w:type="dxa"/>
            <w:noWrap/>
            <w:vAlign w:val="center"/>
            <w:hideMark/>
          </w:tcPr>
          <w:p w14:paraId="2CEC9EA6" w14:textId="116E609D" w:rsidR="004245A9" w:rsidRPr="00696110" w:rsidRDefault="00B40796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78,229</w:t>
            </w:r>
          </w:p>
        </w:tc>
        <w:tc>
          <w:tcPr>
            <w:tcW w:w="1985" w:type="dxa"/>
            <w:noWrap/>
            <w:vAlign w:val="center"/>
            <w:hideMark/>
          </w:tcPr>
          <w:p w14:paraId="0C8F2278" w14:textId="1FAE722A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4BD3EA55" w14:textId="1CD4C8FC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1C02DD3B" w14:textId="1BD1A7B5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6C11ED88" w14:textId="41D5D03C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1417" w:type="dxa"/>
            <w:noWrap/>
            <w:vAlign w:val="center"/>
            <w:hideMark/>
          </w:tcPr>
          <w:p w14:paraId="06D27A9D" w14:textId="1E044D03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18,270</w:t>
            </w:r>
          </w:p>
        </w:tc>
        <w:tc>
          <w:tcPr>
            <w:tcW w:w="1985" w:type="dxa"/>
            <w:noWrap/>
            <w:vAlign w:val="center"/>
            <w:hideMark/>
          </w:tcPr>
          <w:p w14:paraId="53B6846B" w14:textId="303DC592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0.7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551B82A6" w14:textId="444F20FB" w:rsidR="004245A9" w:rsidRPr="00BB26BF" w:rsidRDefault="00A75978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85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76530D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25720463" w14:textId="1B70077A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4EDEA8A" w14:textId="1D8E8A65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417" w:type="dxa"/>
            <w:noWrap/>
            <w:vAlign w:val="center"/>
            <w:hideMark/>
          </w:tcPr>
          <w:p w14:paraId="264B7C43" w14:textId="3FDB8791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3,621</w:t>
            </w:r>
          </w:p>
        </w:tc>
        <w:tc>
          <w:tcPr>
            <w:tcW w:w="1985" w:type="dxa"/>
            <w:noWrap/>
            <w:vAlign w:val="center"/>
            <w:hideMark/>
          </w:tcPr>
          <w:p w14:paraId="38EADECC" w14:textId="1E0743CD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2551" w:type="dxa"/>
            <w:vAlign w:val="center"/>
          </w:tcPr>
          <w:p w14:paraId="33DB9FC0" w14:textId="0A49D599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B40796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3.7</w:t>
            </w: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67D5754B" w14:textId="0B8C46B8" w:rsidTr="00A75978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221F205C" w14:textId="3CED0FEF" w:rsidR="004245A9" w:rsidRPr="00410428" w:rsidRDefault="004245A9" w:rsidP="004104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417" w:type="dxa"/>
            <w:noWrap/>
            <w:vAlign w:val="center"/>
            <w:hideMark/>
          </w:tcPr>
          <w:p w14:paraId="1F292D76" w14:textId="5248FA3C" w:rsidR="004245A9" w:rsidRPr="00410428" w:rsidRDefault="004245A9" w:rsidP="00410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40796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1,945</w:t>
            </w:r>
          </w:p>
        </w:tc>
        <w:tc>
          <w:tcPr>
            <w:tcW w:w="1985" w:type="dxa"/>
            <w:noWrap/>
            <w:vAlign w:val="center"/>
            <w:hideMark/>
          </w:tcPr>
          <w:p w14:paraId="09C1B8A6" w14:textId="0FE67BA0" w:rsidR="004245A9" w:rsidRPr="00410428" w:rsidRDefault="004245A9" w:rsidP="00410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B40796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1F81BCA4" w14:textId="5DB5A574" w:rsidR="004245A9" w:rsidRPr="00410428" w:rsidRDefault="004245A9" w:rsidP="00410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B40796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2.6</w:t>
            </w: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2AB9B3D9" w14:textId="4F2E911B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0301B8E8" w14:textId="02941EAE" w:rsidR="004245A9" w:rsidRPr="00410428" w:rsidRDefault="00B40796" w:rsidP="004245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Money and Tax </w:t>
            </w:r>
          </w:p>
        </w:tc>
        <w:tc>
          <w:tcPr>
            <w:tcW w:w="1417" w:type="dxa"/>
            <w:noWrap/>
            <w:vAlign w:val="center"/>
            <w:hideMark/>
          </w:tcPr>
          <w:p w14:paraId="741F5D04" w14:textId="09B51199" w:rsidR="004245A9" w:rsidRPr="00410428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6530D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 w:rsidR="00B40796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985" w:type="dxa"/>
            <w:noWrap/>
            <w:vAlign w:val="center"/>
            <w:hideMark/>
          </w:tcPr>
          <w:p w14:paraId="72406042" w14:textId="1AC65851" w:rsidR="004245A9" w:rsidRPr="00410428" w:rsidRDefault="00B40796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6.0</w:t>
            </w:r>
            <w:r w:rsidR="004245A9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4881951F" w14:textId="43FB3D64" w:rsidR="004245A9" w:rsidRPr="00410428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B40796"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5.2</w:t>
            </w:r>
            <w:r w:rsidRPr="0041042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0B00E405" w14:textId="2E4297B6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13546A7" w14:textId="0769B3CF" w:rsidR="004245A9" w:rsidRPr="00A75978" w:rsidRDefault="00B40796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417" w:type="dxa"/>
            <w:noWrap/>
            <w:vAlign w:val="center"/>
            <w:hideMark/>
          </w:tcPr>
          <w:p w14:paraId="63E43EB2" w14:textId="06346B76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9,825</w:t>
            </w:r>
          </w:p>
        </w:tc>
        <w:tc>
          <w:tcPr>
            <w:tcW w:w="1985" w:type="dxa"/>
            <w:noWrap/>
            <w:vAlign w:val="center"/>
            <w:hideMark/>
          </w:tcPr>
          <w:p w14:paraId="46461E30" w14:textId="11264746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  <w:r w:rsidR="004245A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4BC2E59A" w14:textId="7CF4684C" w:rsidR="004245A9" w:rsidRPr="00825AD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+1.1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5C57F259" w14:textId="0EEF1F89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C38395B" w14:textId="62BF531F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Moving Country</w:t>
            </w:r>
          </w:p>
        </w:tc>
        <w:tc>
          <w:tcPr>
            <w:tcW w:w="1417" w:type="dxa"/>
            <w:noWrap/>
            <w:vAlign w:val="center"/>
            <w:hideMark/>
          </w:tcPr>
          <w:p w14:paraId="53FD31F9" w14:textId="7FF748FE" w:rsidR="004245A9" w:rsidRPr="00696110" w:rsidRDefault="00B40796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8,020</w:t>
            </w:r>
          </w:p>
        </w:tc>
        <w:tc>
          <w:tcPr>
            <w:tcW w:w="1985" w:type="dxa"/>
            <w:noWrap/>
            <w:vAlign w:val="center"/>
            <w:hideMark/>
          </w:tcPr>
          <w:p w14:paraId="3372F619" w14:textId="5751ACD8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.7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06999567" w14:textId="6A48920C" w:rsidR="004245A9" w:rsidRPr="00825AD0" w:rsidRDefault="00BD78C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B40796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7AA87DC" w14:textId="4D054099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4F9354C" w14:textId="667607BF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Travel and Recreation</w:t>
            </w:r>
          </w:p>
        </w:tc>
        <w:tc>
          <w:tcPr>
            <w:tcW w:w="1417" w:type="dxa"/>
            <w:noWrap/>
            <w:vAlign w:val="center"/>
            <w:hideMark/>
          </w:tcPr>
          <w:p w14:paraId="577E6CD7" w14:textId="08770E2E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4,139</w:t>
            </w:r>
          </w:p>
        </w:tc>
        <w:tc>
          <w:tcPr>
            <w:tcW w:w="1985" w:type="dxa"/>
            <w:noWrap/>
            <w:vAlign w:val="center"/>
            <w:hideMark/>
          </w:tcPr>
          <w:p w14:paraId="282251D8" w14:textId="63282762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5D8BFF8D" w14:textId="55067E7A" w:rsidR="004245A9" w:rsidRPr="00825AD0" w:rsidRDefault="00BD78C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+1.3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579D6D2D" w14:textId="5ED7B97C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742AEC31" w14:textId="35912C3D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Justice</w:t>
            </w:r>
          </w:p>
        </w:tc>
        <w:tc>
          <w:tcPr>
            <w:tcW w:w="1417" w:type="dxa"/>
            <w:noWrap/>
            <w:vAlign w:val="center"/>
            <w:hideMark/>
          </w:tcPr>
          <w:p w14:paraId="2DB41BDF" w14:textId="15F20645" w:rsidR="004245A9" w:rsidRPr="00696110" w:rsidRDefault="0076530D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</w:t>
            </w:r>
            <w:r w:rsidR="00B407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081</w:t>
            </w:r>
          </w:p>
        </w:tc>
        <w:tc>
          <w:tcPr>
            <w:tcW w:w="1985" w:type="dxa"/>
            <w:noWrap/>
            <w:vAlign w:val="center"/>
            <w:hideMark/>
          </w:tcPr>
          <w:p w14:paraId="719E0E74" w14:textId="244D1323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14F3AE27" w14:textId="0F62A931" w:rsidR="004245A9" w:rsidRPr="00696110" w:rsidRDefault="00BD78C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-4.8</w:t>
            </w:r>
            <w:r w:rsidR="004245A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254A3CF8" w14:textId="636CDB6B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D724D0F" w14:textId="564A8AED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Birth, Family and Relationships</w:t>
            </w:r>
          </w:p>
        </w:tc>
        <w:tc>
          <w:tcPr>
            <w:tcW w:w="1417" w:type="dxa"/>
            <w:noWrap/>
            <w:vAlign w:val="center"/>
            <w:hideMark/>
          </w:tcPr>
          <w:p w14:paraId="35032000" w14:textId="57BE5155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3,341</w:t>
            </w:r>
          </w:p>
        </w:tc>
        <w:tc>
          <w:tcPr>
            <w:tcW w:w="1985" w:type="dxa"/>
            <w:noWrap/>
            <w:vAlign w:val="center"/>
            <w:hideMark/>
          </w:tcPr>
          <w:p w14:paraId="53EF7AE3" w14:textId="313DA562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622A7C20" w14:textId="2D14105C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12.0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C434DBD" w14:textId="12E8B2D1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2C11BC27" w14:textId="32142D8E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Education and Training</w:t>
            </w:r>
          </w:p>
        </w:tc>
        <w:tc>
          <w:tcPr>
            <w:tcW w:w="1417" w:type="dxa"/>
            <w:noWrap/>
            <w:vAlign w:val="center"/>
            <w:hideMark/>
          </w:tcPr>
          <w:p w14:paraId="3F6BF7A3" w14:textId="45095957" w:rsidR="004245A9" w:rsidRPr="00696110" w:rsidRDefault="00B40796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3,011</w:t>
            </w:r>
          </w:p>
        </w:tc>
        <w:tc>
          <w:tcPr>
            <w:tcW w:w="1985" w:type="dxa"/>
            <w:noWrap/>
            <w:vAlign w:val="center"/>
            <w:hideMark/>
          </w:tcPr>
          <w:p w14:paraId="2C080F65" w14:textId="67082881" w:rsidR="004245A9" w:rsidRPr="00696110" w:rsidRDefault="00B40796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</w:t>
            </w:r>
            <w:r w:rsidR="004245A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0420B194" w14:textId="776A5801" w:rsidR="004245A9" w:rsidRPr="00696110" w:rsidRDefault="00BD78C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+11.6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4CE6A950" w14:textId="75493056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D0A2067" w14:textId="1A8EE41A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Consumer Affairs</w:t>
            </w:r>
          </w:p>
        </w:tc>
        <w:tc>
          <w:tcPr>
            <w:tcW w:w="1417" w:type="dxa"/>
            <w:noWrap/>
            <w:vAlign w:val="center"/>
            <w:hideMark/>
          </w:tcPr>
          <w:p w14:paraId="1889F9F8" w14:textId="2F47CDC1" w:rsidR="004245A9" w:rsidRPr="00696110" w:rsidRDefault="00B40796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2,405</w:t>
            </w:r>
          </w:p>
        </w:tc>
        <w:tc>
          <w:tcPr>
            <w:tcW w:w="1985" w:type="dxa"/>
            <w:noWrap/>
            <w:vAlign w:val="center"/>
            <w:hideMark/>
          </w:tcPr>
          <w:p w14:paraId="00475DD0" w14:textId="04C06DD6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13D04E94" w14:textId="1932739D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10.8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51FD3D24" w14:textId="396336A5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47FA371B" w14:textId="65B7335A" w:rsidR="004245A9" w:rsidRPr="00A75978" w:rsidRDefault="00B40796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Government in Ireland </w:t>
            </w:r>
          </w:p>
        </w:tc>
        <w:tc>
          <w:tcPr>
            <w:tcW w:w="1417" w:type="dxa"/>
            <w:noWrap/>
            <w:vAlign w:val="center"/>
            <w:hideMark/>
          </w:tcPr>
          <w:p w14:paraId="6520F540" w14:textId="1789C7C2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85" w:type="dxa"/>
            <w:noWrap/>
            <w:vAlign w:val="center"/>
            <w:hideMark/>
          </w:tcPr>
          <w:p w14:paraId="3C6D8E6A" w14:textId="3CEEE9FC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2E34183B" w14:textId="2079F699" w:rsidR="004245A9" w:rsidRPr="00825AD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BD78C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32.6</w:t>
            </w: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781E02AC" w14:textId="1F92636E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7B1F769A" w14:textId="4039E3E7" w:rsidR="004245A9" w:rsidRPr="00A75978" w:rsidRDefault="00B40796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Death and Bereavement</w:t>
            </w:r>
          </w:p>
        </w:tc>
        <w:tc>
          <w:tcPr>
            <w:tcW w:w="1417" w:type="dxa"/>
            <w:noWrap/>
            <w:vAlign w:val="center"/>
            <w:hideMark/>
          </w:tcPr>
          <w:p w14:paraId="0115DAB3" w14:textId="1E0CC08D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1,</w:t>
            </w:r>
            <w:r w:rsidR="008719F9"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noWrap/>
            <w:vAlign w:val="center"/>
            <w:hideMark/>
          </w:tcPr>
          <w:p w14:paraId="3E73B61B" w14:textId="0E0AFCCC" w:rsidR="004245A9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14:paraId="4DFD3E30" w14:textId="0CD3CDD5" w:rsidR="004245A9" w:rsidRPr="00825AD0" w:rsidRDefault="00BD78C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+11.9</w:t>
            </w:r>
            <w:r w:rsidR="004245A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245A9" w:rsidRPr="00726B8C" w14:paraId="1B0AE63B" w14:textId="07479F5E" w:rsidTr="00A7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vAlign w:val="center"/>
            <w:hideMark/>
          </w:tcPr>
          <w:p w14:paraId="3259761F" w14:textId="6F456B46" w:rsidR="004245A9" w:rsidRPr="00A75978" w:rsidRDefault="004245A9" w:rsidP="004245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75978">
              <w:rPr>
                <w:rFonts w:ascii="Calibri" w:hAnsi="Calibri" w:cs="Calibri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417" w:type="dxa"/>
            <w:noWrap/>
            <w:vAlign w:val="center"/>
            <w:hideMark/>
          </w:tcPr>
          <w:p w14:paraId="2D1563FF" w14:textId="6AD3CDD3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4079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14:paraId="28A9F439" w14:textId="0E046B1E" w:rsidR="004245A9" w:rsidRPr="0069611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6110"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2551" w:type="dxa"/>
            <w:vAlign w:val="center"/>
          </w:tcPr>
          <w:p w14:paraId="61B98A26" w14:textId="27380947" w:rsidR="004245A9" w:rsidRPr="00825AD0" w:rsidRDefault="004245A9" w:rsidP="00EC7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+1</w:t>
            </w:r>
            <w:r w:rsidR="00BD78C9"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.3</w:t>
            </w:r>
            <w:r w:rsidRPr="00825AD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3D7437" w:rsidRPr="00726B8C" w14:paraId="15AA2512" w14:textId="2FB3A409" w:rsidTr="00A759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50DFB77" w14:textId="77777777" w:rsidR="003D7437" w:rsidRPr="00726B8C" w:rsidRDefault="003D7437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417" w:type="dxa"/>
            <w:noWrap/>
          </w:tcPr>
          <w:p w14:paraId="1474D72E" w14:textId="150CF24A" w:rsidR="003D7437" w:rsidRPr="00696110" w:rsidRDefault="004245A9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B407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70,303</w:t>
            </w:r>
          </w:p>
        </w:tc>
        <w:tc>
          <w:tcPr>
            <w:tcW w:w="1985" w:type="dxa"/>
            <w:noWrap/>
            <w:hideMark/>
          </w:tcPr>
          <w:p w14:paraId="616FB61B" w14:textId="77777777" w:rsidR="003D7437" w:rsidRPr="00696110" w:rsidRDefault="003D7437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96110">
              <w:rPr>
                <w:rFonts w:ascii="Calibri" w:hAnsi="Calibri" w:cs="Calibr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2551" w:type="dxa"/>
          </w:tcPr>
          <w:p w14:paraId="19A8BA26" w14:textId="77777777" w:rsidR="003D7437" w:rsidRPr="00726B8C" w:rsidRDefault="003D7437" w:rsidP="00EC7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14:paraId="766245B5" w14:textId="77777777" w:rsidR="00894579" w:rsidRDefault="00894579" w:rsidP="00290362">
      <w:pPr>
        <w:pStyle w:val="Heading3"/>
        <w:rPr>
          <w:rFonts w:ascii="Calibri" w:eastAsia="Times New Roman" w:hAnsi="Calibri" w:cs="Calibri"/>
          <w:lang w:eastAsia="en-IE"/>
        </w:rPr>
      </w:pPr>
    </w:p>
    <w:p w14:paraId="3B5CCF4C" w14:textId="2333A9E5" w:rsidR="00942712" w:rsidRPr="00586C6E" w:rsidRDefault="00942712" w:rsidP="00586C6E">
      <w:pPr>
        <w:pStyle w:val="Heading3"/>
      </w:pPr>
      <w:r w:rsidRPr="00586C6E">
        <w:t xml:space="preserve">Table </w:t>
      </w:r>
      <w:r w:rsidR="00EE6517" w:rsidRPr="00586C6E">
        <w:t>9</w:t>
      </w:r>
      <w:r w:rsidRPr="00586C6E">
        <w:t xml:space="preserve"> </w:t>
      </w:r>
      <w:r w:rsidR="00214431" w:rsidRPr="00586C6E">
        <w:t>–</w:t>
      </w:r>
      <w:r w:rsidRPr="00586C6E">
        <w:t xml:space="preserve"> Top</w:t>
      </w:r>
      <w:r w:rsidR="00214431" w:rsidRPr="00586C6E">
        <w:t xml:space="preserve"> </w:t>
      </w:r>
      <w:r w:rsidRPr="00586C6E">
        <w:t>Ten</w:t>
      </w:r>
      <w:r w:rsidR="00111C28" w:rsidRPr="00586C6E">
        <w:t xml:space="preserve"> (i.e. most queried)</w:t>
      </w:r>
      <w:r w:rsidRPr="00586C6E">
        <w:t xml:space="preserve"> Payments or Schemes, Q</w:t>
      </w:r>
      <w:r w:rsidR="00BD78C9">
        <w:t>4</w:t>
      </w:r>
      <w:r w:rsidRPr="00586C6E">
        <w:t xml:space="preserve"> 202</w:t>
      </w:r>
      <w:r w:rsidR="004245A9" w:rsidRPr="00586C6E">
        <w:t>4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399"/>
        <w:gridCol w:w="4132"/>
        <w:gridCol w:w="1985"/>
        <w:gridCol w:w="2551"/>
      </w:tblGrid>
      <w:tr w:rsidR="002E554D" w:rsidRPr="00726B8C" w14:paraId="18A96E94" w14:textId="77777777" w:rsidTr="00410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9049F2" w14:textId="77777777" w:rsidR="002E554D" w:rsidRPr="00726B8C" w:rsidRDefault="002E554D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4132" w:type="dxa"/>
            <w:hideMark/>
          </w:tcPr>
          <w:p w14:paraId="6455DC20" w14:textId="77777777" w:rsidR="002E554D" w:rsidRPr="00A75978" w:rsidRDefault="002E554D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Single Payment or Scheme</w:t>
            </w:r>
          </w:p>
        </w:tc>
        <w:tc>
          <w:tcPr>
            <w:tcW w:w="1985" w:type="dxa"/>
            <w:hideMark/>
          </w:tcPr>
          <w:p w14:paraId="4CEA9822" w14:textId="77777777" w:rsidR="002E554D" w:rsidRPr="00A75978" w:rsidRDefault="002E554D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# of Queries</w:t>
            </w:r>
          </w:p>
        </w:tc>
        <w:tc>
          <w:tcPr>
            <w:tcW w:w="2551" w:type="dxa"/>
            <w:hideMark/>
          </w:tcPr>
          <w:p w14:paraId="5EDB2864" w14:textId="77777777" w:rsidR="002E554D" w:rsidRPr="00A75978" w:rsidRDefault="002E554D" w:rsidP="00A7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A75978">
              <w:rPr>
                <w:rFonts w:ascii="Calibri" w:hAnsi="Calibri" w:cs="Calibri"/>
                <w:color w:val="000000" w:themeColor="text1"/>
              </w:rPr>
              <w:t>% of Top Ten Queries</w:t>
            </w:r>
          </w:p>
        </w:tc>
      </w:tr>
      <w:tr w:rsidR="002E554D" w:rsidRPr="00726B8C" w14:paraId="2BF78C59" w14:textId="77777777" w:rsidTr="004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703ECF9" w14:textId="68E01FC9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4132" w:type="dxa"/>
            <w:vAlign w:val="center"/>
            <w:hideMark/>
          </w:tcPr>
          <w:p w14:paraId="16C746D9" w14:textId="539DB52A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Card</w:t>
            </w:r>
          </w:p>
        </w:tc>
        <w:tc>
          <w:tcPr>
            <w:tcW w:w="1985" w:type="dxa"/>
            <w:noWrap/>
            <w:vAlign w:val="center"/>
            <w:hideMark/>
          </w:tcPr>
          <w:p w14:paraId="75F5BA9C" w14:textId="2C08576D" w:rsidR="002E554D" w:rsidRPr="002E554D" w:rsidRDefault="00BD78C9" w:rsidP="00410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8,143</w:t>
            </w:r>
          </w:p>
        </w:tc>
        <w:tc>
          <w:tcPr>
            <w:tcW w:w="2551" w:type="dxa"/>
            <w:noWrap/>
            <w:vAlign w:val="center"/>
            <w:hideMark/>
          </w:tcPr>
          <w:p w14:paraId="6F04F352" w14:textId="65C97757" w:rsidR="00370518" w:rsidRPr="00696110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6.7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52244A74" w14:textId="77777777" w:rsidTr="0041042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2CFFA0A" w14:textId="4F54C0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4132" w:type="dxa"/>
            <w:vAlign w:val="center"/>
          </w:tcPr>
          <w:p w14:paraId="266E7DE2" w14:textId="4AB58EE8" w:rsidR="002E554D" w:rsidRPr="002E554D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985" w:type="dxa"/>
            <w:noWrap/>
            <w:vAlign w:val="center"/>
            <w:hideMark/>
          </w:tcPr>
          <w:p w14:paraId="77E00763" w14:textId="7B148F52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6,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551" w:type="dxa"/>
            <w:noWrap/>
            <w:vAlign w:val="center"/>
            <w:hideMark/>
          </w:tcPr>
          <w:p w14:paraId="68885B52" w14:textId="13E2993F" w:rsidR="00370518" w:rsidRPr="00696110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3.7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74774EDD" w14:textId="77777777" w:rsidTr="004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5493309" w14:textId="3728315D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4132" w:type="dxa"/>
            <w:vAlign w:val="center"/>
          </w:tcPr>
          <w:p w14:paraId="17EEA13A" w14:textId="323824B0" w:rsidR="002E554D" w:rsidRPr="002E554D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985" w:type="dxa"/>
            <w:noWrap/>
            <w:vAlign w:val="center"/>
            <w:hideMark/>
          </w:tcPr>
          <w:p w14:paraId="38ABF2A1" w14:textId="37F61976" w:rsidR="002E554D" w:rsidRPr="002E554D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BD78C9">
              <w:rPr>
                <w:rFonts w:ascii="Calibri" w:hAnsi="Calibri" w:cs="Calibri"/>
                <w:color w:val="000000"/>
                <w:sz w:val="20"/>
                <w:szCs w:val="20"/>
              </w:rPr>
              <w:t>5,748</w:t>
            </w:r>
          </w:p>
        </w:tc>
        <w:tc>
          <w:tcPr>
            <w:tcW w:w="2551" w:type="dxa"/>
            <w:noWrap/>
            <w:vAlign w:val="center"/>
            <w:hideMark/>
          </w:tcPr>
          <w:p w14:paraId="3787EC0C" w14:textId="497420EF" w:rsidR="00370518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28DA6761" w14:textId="77777777" w:rsidTr="004104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0197191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4132" w:type="dxa"/>
            <w:vAlign w:val="center"/>
          </w:tcPr>
          <w:p w14:paraId="625A2A48" w14:textId="262DA751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 xml:space="preserve">State Pension </w:t>
            </w:r>
            <w:r w:rsidR="00BD78C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/</w:t>
            </w: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Contributory</w:t>
            </w:r>
          </w:p>
        </w:tc>
        <w:tc>
          <w:tcPr>
            <w:tcW w:w="1985" w:type="dxa"/>
            <w:noWrap/>
            <w:vAlign w:val="center"/>
            <w:hideMark/>
          </w:tcPr>
          <w:p w14:paraId="3814F222" w14:textId="20883846" w:rsidR="002E554D" w:rsidRPr="00BD78C9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78C9">
              <w:rPr>
                <w:rFonts w:ascii="Calibri" w:hAnsi="Calibri" w:cs="Calibri"/>
                <w:color w:val="000000"/>
                <w:sz w:val="20"/>
                <w:szCs w:val="20"/>
              </w:rPr>
              <w:t>5,279</w:t>
            </w:r>
          </w:p>
        </w:tc>
        <w:tc>
          <w:tcPr>
            <w:tcW w:w="2551" w:type="dxa"/>
            <w:noWrap/>
            <w:vAlign w:val="center"/>
            <w:hideMark/>
          </w:tcPr>
          <w:p w14:paraId="1699E45C" w14:textId="55CB0B0F" w:rsidR="002E554D" w:rsidRPr="00BD78C9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0.8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16AEFD0C" w14:textId="77777777" w:rsidTr="004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DBCB26D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4132" w:type="dxa"/>
            <w:vAlign w:val="center"/>
          </w:tcPr>
          <w:p w14:paraId="04A47CED" w14:textId="0EB5A108" w:rsidR="002E554D" w:rsidRPr="002E554D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Carer’s Allowance</w:t>
            </w: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985" w:type="dxa"/>
            <w:noWrap/>
            <w:vAlign w:val="center"/>
            <w:hideMark/>
          </w:tcPr>
          <w:p w14:paraId="3559472C" w14:textId="45BABA8F" w:rsidR="002E554D" w:rsidRPr="00BD78C9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2551" w:type="dxa"/>
            <w:noWrap/>
            <w:vAlign w:val="center"/>
            <w:hideMark/>
          </w:tcPr>
          <w:p w14:paraId="3D0C29DE" w14:textId="28482D78" w:rsidR="002E554D" w:rsidRPr="00BD78C9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</w:t>
            </w:r>
            <w:r w:rsidR="002E554D" w:rsidRPr="00BD78C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28B8622C" w14:textId="77777777" w:rsidTr="004104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22E6F34" w14:textId="2879730B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4132" w:type="dxa"/>
            <w:vAlign w:val="center"/>
          </w:tcPr>
          <w:p w14:paraId="22B6039B" w14:textId="29CB1329" w:rsidR="002E554D" w:rsidRPr="002E554D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985" w:type="dxa"/>
            <w:noWrap/>
            <w:vAlign w:val="center"/>
            <w:hideMark/>
          </w:tcPr>
          <w:p w14:paraId="3BB51904" w14:textId="32E5E8DE" w:rsidR="002E554D" w:rsidRPr="00BD78C9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4,804</w:t>
            </w:r>
          </w:p>
        </w:tc>
        <w:tc>
          <w:tcPr>
            <w:tcW w:w="2551" w:type="dxa"/>
            <w:noWrap/>
            <w:vAlign w:val="center"/>
            <w:hideMark/>
          </w:tcPr>
          <w:p w14:paraId="2D8D81C6" w14:textId="51D5FE7A" w:rsidR="00370518" w:rsidRPr="00BD78C9" w:rsidRDefault="00014EAA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</w:t>
            </w:r>
            <w:r w:rsidR="002E554D"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69C7BC3F" w14:textId="77777777" w:rsidTr="004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49AF246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4132" w:type="dxa"/>
            <w:vAlign w:val="center"/>
            <w:hideMark/>
          </w:tcPr>
          <w:p w14:paraId="38ED8FD4" w14:textId="59E265C8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985" w:type="dxa"/>
            <w:noWrap/>
            <w:vAlign w:val="center"/>
            <w:hideMark/>
          </w:tcPr>
          <w:p w14:paraId="0CB37995" w14:textId="407CF230" w:rsidR="002E554D" w:rsidRPr="00BD78C9" w:rsidRDefault="00BD78C9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3,789</w:t>
            </w:r>
          </w:p>
        </w:tc>
        <w:tc>
          <w:tcPr>
            <w:tcW w:w="2551" w:type="dxa"/>
            <w:noWrap/>
            <w:vAlign w:val="center"/>
            <w:hideMark/>
          </w:tcPr>
          <w:p w14:paraId="5C4BFA21" w14:textId="46F75D11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2E554D" w:rsidRPr="00726B8C" w14:paraId="529A70A8" w14:textId="77777777" w:rsidTr="0041042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F8D515A" w14:textId="77777777" w:rsidR="00B53D45" w:rsidRDefault="00B53D45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  <w:p w14:paraId="2E8DAB2F" w14:textId="25D10A85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4132" w:type="dxa"/>
            <w:vAlign w:val="center"/>
            <w:hideMark/>
          </w:tcPr>
          <w:p w14:paraId="1B242311" w14:textId="537C3DB3" w:rsidR="002E554D" w:rsidRPr="002E554D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Jobseeker’s Allowance</w:t>
            </w:r>
          </w:p>
        </w:tc>
        <w:tc>
          <w:tcPr>
            <w:tcW w:w="1985" w:type="dxa"/>
            <w:noWrap/>
            <w:vAlign w:val="center"/>
            <w:hideMark/>
          </w:tcPr>
          <w:p w14:paraId="54620496" w14:textId="3A00930B" w:rsidR="002E554D" w:rsidRPr="00BD78C9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3,440</w:t>
            </w:r>
          </w:p>
        </w:tc>
        <w:tc>
          <w:tcPr>
            <w:tcW w:w="2551" w:type="dxa"/>
            <w:noWrap/>
            <w:vAlign w:val="center"/>
            <w:hideMark/>
          </w:tcPr>
          <w:p w14:paraId="4F56DE49" w14:textId="058B4D3C" w:rsidR="00370518" w:rsidRPr="00696110" w:rsidRDefault="002E554D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5451C1D9" w14:textId="77777777" w:rsidTr="004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9E0CA94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9457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4132" w:type="dxa"/>
            <w:vAlign w:val="center"/>
          </w:tcPr>
          <w:p w14:paraId="13FE8E36" w14:textId="4464E0B1" w:rsidR="002E554D" w:rsidRPr="002E554D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2E55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985" w:type="dxa"/>
            <w:noWrap/>
            <w:vAlign w:val="center"/>
            <w:hideMark/>
          </w:tcPr>
          <w:p w14:paraId="27A26B49" w14:textId="4CE41758" w:rsidR="002E554D" w:rsidRPr="00BD78C9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3,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51" w:type="dxa"/>
            <w:noWrap/>
            <w:vAlign w:val="center"/>
            <w:hideMark/>
          </w:tcPr>
          <w:p w14:paraId="1CFA95CE" w14:textId="4D99E692" w:rsidR="002E554D" w:rsidRPr="00BD78C9" w:rsidRDefault="002E554D" w:rsidP="00894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  <w:r w:rsidR="00BD78C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2E554D" w:rsidRPr="00726B8C" w14:paraId="77C82905" w14:textId="77777777" w:rsidTr="0041042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F867CA5" w14:textId="77777777" w:rsidR="002E554D" w:rsidRPr="00726B8C" w:rsidRDefault="002E554D" w:rsidP="0089457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726B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4132" w:type="dxa"/>
            <w:vAlign w:val="center"/>
          </w:tcPr>
          <w:p w14:paraId="5AA1037F" w14:textId="06E7CB8D" w:rsidR="002E554D" w:rsidRPr="002E554D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985" w:type="dxa"/>
            <w:noWrap/>
            <w:vAlign w:val="center"/>
            <w:hideMark/>
          </w:tcPr>
          <w:p w14:paraId="6E101898" w14:textId="1364AC30" w:rsidR="002E554D" w:rsidRPr="00BD78C9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2,817</w:t>
            </w:r>
          </w:p>
        </w:tc>
        <w:tc>
          <w:tcPr>
            <w:tcW w:w="2551" w:type="dxa"/>
            <w:noWrap/>
            <w:vAlign w:val="center"/>
            <w:hideMark/>
          </w:tcPr>
          <w:p w14:paraId="7A8C69EA" w14:textId="3BD59DEA" w:rsidR="002E554D" w:rsidRPr="00BD78C9" w:rsidRDefault="00BD78C9" w:rsidP="0089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  <w:r w:rsidR="002E554D" w:rsidRPr="002E554D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2A9E2BD3" w14:textId="77777777" w:rsidR="00586C6E" w:rsidRDefault="00586C6E" w:rsidP="00D95BE1">
      <w:pPr>
        <w:tabs>
          <w:tab w:val="left" w:pos="12616"/>
        </w:tabs>
        <w:rPr>
          <w:rFonts w:eastAsiaTheme="majorEastAsia"/>
          <w:b/>
          <w:color w:val="1481AB" w:themeColor="accent1" w:themeShade="BF"/>
        </w:rPr>
      </w:pPr>
    </w:p>
    <w:p w14:paraId="5FD8EA10" w14:textId="77777777" w:rsidR="00586C6E" w:rsidRDefault="00586C6E">
      <w:pPr>
        <w:rPr>
          <w:rFonts w:eastAsiaTheme="majorEastAsia"/>
          <w:b/>
          <w:color w:val="1481AB" w:themeColor="accent1" w:themeShade="BF"/>
        </w:rPr>
      </w:pPr>
      <w:r>
        <w:rPr>
          <w:rFonts w:eastAsiaTheme="majorEastAsia"/>
          <w:b/>
          <w:color w:val="1481AB" w:themeColor="accent1" w:themeShade="BF"/>
        </w:rPr>
        <w:br w:type="page"/>
      </w:r>
    </w:p>
    <w:p w14:paraId="1D44B48D" w14:textId="1F985536" w:rsidR="00D95BE1" w:rsidRPr="00513D9F" w:rsidRDefault="00D95BE1" w:rsidP="00586C6E">
      <w:pPr>
        <w:pStyle w:val="Heading2"/>
      </w:pPr>
      <w:r w:rsidRPr="00513D9F">
        <w:lastRenderedPageBreak/>
        <w:t>Social Welfare Queries</w:t>
      </w:r>
    </w:p>
    <w:p w14:paraId="5CB8A162" w14:textId="0F9E16FD" w:rsidR="009C3859" w:rsidRDefault="00926F6D" w:rsidP="00963E11">
      <w:pPr>
        <w:jc w:val="both"/>
        <w:rPr>
          <w:sz w:val="22"/>
          <w:szCs w:val="22"/>
        </w:rPr>
      </w:pPr>
      <w:r w:rsidRPr="00963E11">
        <w:rPr>
          <w:rFonts w:eastAsia="Times New Roman"/>
          <w:bCs/>
          <w:color w:val="000000" w:themeColor="text1"/>
          <w:sz w:val="22"/>
          <w:szCs w:val="22"/>
          <w:lang w:eastAsia="en-IE"/>
        </w:rPr>
        <w:t xml:space="preserve">Social Welfare queries were the </w:t>
      </w:r>
      <w:r w:rsidR="00AF4F4C" w:rsidRPr="00963E11">
        <w:rPr>
          <w:rFonts w:eastAsia="Times New Roman"/>
          <w:bCs/>
          <w:color w:val="000000" w:themeColor="text1"/>
          <w:sz w:val="22"/>
          <w:szCs w:val="22"/>
          <w:lang w:eastAsia="en-IE"/>
        </w:rPr>
        <w:t xml:space="preserve">highest </w:t>
      </w:r>
      <w:r w:rsidR="00AF4F4C" w:rsidRPr="00963E11">
        <w:rPr>
          <w:sz w:val="22"/>
          <w:szCs w:val="22"/>
        </w:rPr>
        <w:t xml:space="preserve">query area, representing </w:t>
      </w:r>
      <w:r w:rsidR="00BD78C9" w:rsidRPr="00963E11">
        <w:rPr>
          <w:sz w:val="22"/>
          <w:szCs w:val="22"/>
        </w:rPr>
        <w:t>around 46%</w:t>
      </w:r>
      <w:r w:rsidR="00AF4F4C" w:rsidRPr="00963E11">
        <w:rPr>
          <w:sz w:val="22"/>
          <w:szCs w:val="22"/>
        </w:rPr>
        <w:t xml:space="preserve"> of all queries</w:t>
      </w:r>
      <w:r w:rsidR="00BD78C9" w:rsidRPr="00963E11">
        <w:rPr>
          <w:sz w:val="22"/>
          <w:szCs w:val="22"/>
        </w:rPr>
        <w:t>.</w:t>
      </w:r>
      <w:r w:rsidR="004C5626">
        <w:rPr>
          <w:sz w:val="22"/>
          <w:szCs w:val="22"/>
        </w:rPr>
        <w:t xml:space="preserve"> While most areas saw a decrease compared to Q3 2024 in line with the overall decrease in queries, some payments or schemes recorded an increase. These are highlighted in bold.</w:t>
      </w:r>
    </w:p>
    <w:p w14:paraId="17B7D64E" w14:textId="6310B320" w:rsidR="00963E11" w:rsidRDefault="00963E11" w:rsidP="00963E11">
      <w:pPr>
        <w:jc w:val="both"/>
        <w:rPr>
          <w:sz w:val="22"/>
          <w:szCs w:val="22"/>
        </w:rPr>
      </w:pPr>
      <w:r>
        <w:rPr>
          <w:sz w:val="22"/>
          <w:szCs w:val="22"/>
        </w:rPr>
        <w:t>Extra Social Welfare Benefits queries decreased by 9.4%</w:t>
      </w:r>
      <w:r w:rsidR="004C5626">
        <w:rPr>
          <w:sz w:val="22"/>
          <w:szCs w:val="22"/>
        </w:rPr>
        <w:t xml:space="preserve"> compared to Q3 2024</w:t>
      </w:r>
      <w:r>
        <w:rPr>
          <w:sz w:val="22"/>
          <w:szCs w:val="22"/>
        </w:rPr>
        <w:t>.</w:t>
      </w:r>
    </w:p>
    <w:p w14:paraId="74F642EC" w14:textId="56F9F4F6" w:rsidR="00963E11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Fuel allowance queries decreased by 12.4%.</w:t>
      </w:r>
    </w:p>
    <w:p w14:paraId="3D148D87" w14:textId="01BA6D78" w:rsidR="00337BE2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Household Benefits Package queries decreased by 10.5%.</w:t>
      </w:r>
    </w:p>
    <w:p w14:paraId="51B1C71D" w14:textId="60F34F6C" w:rsidR="00337BE2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Living Alone Increase</w:t>
      </w:r>
      <w:r w:rsidR="00410428">
        <w:rPr>
          <w:rFonts w:eastAsiaTheme="minorHAnsi"/>
        </w:rPr>
        <w:t xml:space="preserve"> queries</w:t>
      </w:r>
      <w:r>
        <w:rPr>
          <w:rFonts w:eastAsiaTheme="minorHAnsi"/>
        </w:rPr>
        <w:t xml:space="preserve"> decreased by 5.2%.</w:t>
      </w:r>
    </w:p>
    <w:p w14:paraId="1B821A60" w14:textId="63667DC9" w:rsidR="00337BE2" w:rsidRPr="001E60A9" w:rsidRDefault="00337BE2" w:rsidP="00FA7285">
      <w:pPr>
        <w:pStyle w:val="ListParagraph"/>
        <w:numPr>
          <w:ilvl w:val="0"/>
          <w:numId w:val="24"/>
        </w:numPr>
        <w:rPr>
          <w:rFonts w:eastAsiaTheme="minorHAnsi"/>
          <w:b/>
          <w:bCs w:val="0"/>
        </w:rPr>
      </w:pPr>
      <w:r w:rsidRPr="001E60A9">
        <w:rPr>
          <w:rFonts w:eastAsiaTheme="minorHAnsi"/>
          <w:b/>
          <w:bCs w:val="0"/>
        </w:rPr>
        <w:t>Free Travel (Travel Card, Companion Card, etc.) queries increased by 9.3%.</w:t>
      </w:r>
    </w:p>
    <w:p w14:paraId="26C4FCF5" w14:textId="14EDE735" w:rsidR="00337BE2" w:rsidRDefault="00337BE2" w:rsidP="00337BE2">
      <w:pPr>
        <w:jc w:val="both"/>
      </w:pPr>
      <w:r>
        <w:t>Disability and Illness queries decreased by 7.2%.</w:t>
      </w:r>
    </w:p>
    <w:p w14:paraId="6747CE71" w14:textId="70166C52" w:rsidR="00337BE2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Disability Allowance queries decreased by 7.0%.</w:t>
      </w:r>
    </w:p>
    <w:p w14:paraId="55DD2679" w14:textId="073C379F" w:rsidR="00337BE2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 xml:space="preserve">Illness Benefit </w:t>
      </w:r>
      <w:r w:rsidR="00410428">
        <w:rPr>
          <w:rFonts w:eastAsiaTheme="minorHAnsi"/>
        </w:rPr>
        <w:t xml:space="preserve">queries </w:t>
      </w:r>
      <w:r>
        <w:rPr>
          <w:rFonts w:eastAsiaTheme="minorHAnsi"/>
        </w:rPr>
        <w:t>decreased by 7.9%.</w:t>
      </w:r>
    </w:p>
    <w:p w14:paraId="390DBCFC" w14:textId="13B53EF9" w:rsidR="00337BE2" w:rsidRDefault="00337BE2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Invalidity Pension queries decreased by 10%.</w:t>
      </w:r>
    </w:p>
    <w:p w14:paraId="33D4D19E" w14:textId="65C83FCD" w:rsidR="00337BE2" w:rsidRDefault="00337BE2" w:rsidP="00337BE2">
      <w:pPr>
        <w:jc w:val="both"/>
      </w:pPr>
      <w:r>
        <w:t>Older and Retired P</w:t>
      </w:r>
      <w:r w:rsidR="00001C49">
        <w:t>eople</w:t>
      </w:r>
      <w:r w:rsidR="004C5626">
        <w:t xml:space="preserve"> queries</w:t>
      </w:r>
      <w:r w:rsidR="00001C49">
        <w:t xml:space="preserve"> decreas</w:t>
      </w:r>
      <w:r w:rsidR="004C5626">
        <w:t>ed</w:t>
      </w:r>
      <w:r w:rsidR="00001C49">
        <w:t xml:space="preserve"> only slightly </w:t>
      </w:r>
      <w:r w:rsidR="004C5626">
        <w:t>(</w:t>
      </w:r>
      <w:r w:rsidR="00001C49">
        <w:t>by 1.5%</w:t>
      </w:r>
      <w:r w:rsidR="004C5626">
        <w:t>)</w:t>
      </w:r>
      <w:r w:rsidR="00001C49">
        <w:t>.</w:t>
      </w:r>
    </w:p>
    <w:p w14:paraId="11C8F298" w14:textId="4E4480DA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State Pension/Contributory decreased by 5.4%.</w:t>
      </w:r>
    </w:p>
    <w:p w14:paraId="607A05B4" w14:textId="350FFBD2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State Pension/Non-Contributory decreased by 3.2%.</w:t>
      </w:r>
    </w:p>
    <w:p w14:paraId="41830364" w14:textId="02DE9D09" w:rsidR="00001C49" w:rsidRDefault="00001C49" w:rsidP="00001C49">
      <w:pPr>
        <w:jc w:val="both"/>
      </w:pPr>
      <w:r>
        <w:t>Carers queries decreased by 5.7%.</w:t>
      </w:r>
    </w:p>
    <w:p w14:paraId="443980FD" w14:textId="029E9C66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Carer’s Allowance queries decreased by 8.3%.</w:t>
      </w:r>
    </w:p>
    <w:p w14:paraId="250116C2" w14:textId="32318FB6" w:rsidR="00001C49" w:rsidRPr="001E60A9" w:rsidRDefault="00001C49" w:rsidP="00FA7285">
      <w:pPr>
        <w:pStyle w:val="ListParagraph"/>
        <w:numPr>
          <w:ilvl w:val="0"/>
          <w:numId w:val="24"/>
        </w:numPr>
        <w:rPr>
          <w:rFonts w:eastAsiaTheme="minorHAnsi"/>
          <w:b/>
          <w:bCs w:val="0"/>
        </w:rPr>
      </w:pPr>
      <w:r w:rsidRPr="001E60A9">
        <w:rPr>
          <w:rFonts w:eastAsiaTheme="minorHAnsi"/>
          <w:b/>
          <w:bCs w:val="0"/>
        </w:rPr>
        <w:t>Domiciliary Care Allowance queries increased by 5.1%.</w:t>
      </w:r>
    </w:p>
    <w:p w14:paraId="1A7139FE" w14:textId="4B3C480B" w:rsidR="00001C49" w:rsidRDefault="00001C49" w:rsidP="00001C49">
      <w:pPr>
        <w:jc w:val="both"/>
      </w:pPr>
      <w:r>
        <w:t>Families and Children queries decreased by 12.0%.</w:t>
      </w:r>
    </w:p>
    <w:p w14:paraId="61A7EFD6" w14:textId="47936C36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Working Family Payment (WFP) decreased by 13.7%.</w:t>
      </w:r>
    </w:p>
    <w:p w14:paraId="323A0E1C" w14:textId="2D0CD165" w:rsidR="00001C49" w:rsidRPr="001E60A9" w:rsidRDefault="00001C49" w:rsidP="00FA7285">
      <w:pPr>
        <w:pStyle w:val="ListParagraph"/>
        <w:numPr>
          <w:ilvl w:val="0"/>
          <w:numId w:val="24"/>
        </w:numPr>
        <w:rPr>
          <w:rFonts w:eastAsiaTheme="minorHAnsi"/>
          <w:b/>
          <w:bCs w:val="0"/>
        </w:rPr>
      </w:pPr>
      <w:r w:rsidRPr="001E60A9">
        <w:rPr>
          <w:rFonts w:eastAsiaTheme="minorHAnsi"/>
          <w:b/>
          <w:bCs w:val="0"/>
        </w:rPr>
        <w:t>Child Benefit queries increased slightly by 1.0%.</w:t>
      </w:r>
    </w:p>
    <w:p w14:paraId="5DF47064" w14:textId="53463A9B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One Parent Family Payment (OFP) queries decreased by 15.9%.</w:t>
      </w:r>
    </w:p>
    <w:p w14:paraId="559F3482" w14:textId="6BE224DE" w:rsidR="00001C49" w:rsidRDefault="00001C49" w:rsidP="00001C49">
      <w:pPr>
        <w:jc w:val="both"/>
      </w:pPr>
      <w:r>
        <w:t>Supplementary Welfare Schemes decreased by 10.3%.</w:t>
      </w:r>
    </w:p>
    <w:p w14:paraId="2C904389" w14:textId="09DFF11E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Basic Supplementary Welfare Allowance queries decreased by 8.5%.</w:t>
      </w:r>
    </w:p>
    <w:p w14:paraId="62AFD5BC" w14:textId="77A15DDB" w:rsidR="00001C49" w:rsidRDefault="00001C49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Additiona</w:t>
      </w:r>
      <w:r w:rsidR="00BB26BF">
        <w:rPr>
          <w:rFonts w:eastAsiaTheme="minorHAnsi"/>
        </w:rPr>
        <w:t>l</w:t>
      </w:r>
      <w:r>
        <w:rPr>
          <w:rFonts w:eastAsiaTheme="minorHAnsi"/>
        </w:rPr>
        <w:t xml:space="preserve"> Needs Payment queries decreased by 16.4%.</w:t>
      </w:r>
    </w:p>
    <w:p w14:paraId="4FD3F45E" w14:textId="2105A192" w:rsidR="00DF5507" w:rsidRDefault="00DF5507" w:rsidP="00DF5507">
      <w:pPr>
        <w:jc w:val="both"/>
      </w:pPr>
      <w:r>
        <w:t>Unemployed People queries decreased by 10.9%.</w:t>
      </w:r>
    </w:p>
    <w:p w14:paraId="4DD0FC89" w14:textId="174DC9C4" w:rsidR="00DF5507" w:rsidRDefault="00DF5507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Jobseeker’s Allowance queries decreased by 8.2%.</w:t>
      </w:r>
    </w:p>
    <w:p w14:paraId="67AA6A5B" w14:textId="1737DAA0" w:rsidR="00DF5507" w:rsidRDefault="00F20351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Jobseekers’</w:t>
      </w:r>
      <w:r w:rsidR="00DF5507">
        <w:rPr>
          <w:rFonts w:eastAsiaTheme="minorHAnsi"/>
        </w:rPr>
        <w:t xml:space="preserve"> Benefit queries decreased by 8.5%.</w:t>
      </w:r>
    </w:p>
    <w:p w14:paraId="68DAC5B1" w14:textId="48809FBF" w:rsidR="00DF5507" w:rsidRDefault="00F20351" w:rsidP="00F20351">
      <w:pPr>
        <w:jc w:val="both"/>
      </w:pPr>
      <w:r>
        <w:t>Social Welfare Miscellaneous queries decreased by 1.6%.</w:t>
      </w:r>
    </w:p>
    <w:p w14:paraId="2387F9BD" w14:textId="698C6D81" w:rsidR="00F20351" w:rsidRDefault="00F20351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Means Tests queries decreased by 14.2%.</w:t>
      </w:r>
    </w:p>
    <w:p w14:paraId="10722263" w14:textId="5019210B" w:rsidR="00410428" w:rsidRDefault="00410428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Public Services Card queries decreased by 25.7%.</w:t>
      </w:r>
    </w:p>
    <w:p w14:paraId="1C80C964" w14:textId="6220BC27" w:rsidR="00F20351" w:rsidRDefault="00F20351" w:rsidP="00F20351">
      <w:pPr>
        <w:jc w:val="both"/>
      </w:pPr>
      <w:r>
        <w:t>Social Insurance (PRSI) queries decreased by 6.8%</w:t>
      </w:r>
    </w:p>
    <w:p w14:paraId="78D6D09E" w14:textId="56F65C32" w:rsidR="005E0EEC" w:rsidRDefault="005E0EEC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PRSI Records/ Paid Contributions decrease</w:t>
      </w:r>
      <w:r w:rsidR="004C5626">
        <w:rPr>
          <w:rFonts w:eastAsiaTheme="minorHAnsi"/>
        </w:rPr>
        <w:t>d</w:t>
      </w:r>
      <w:r>
        <w:rPr>
          <w:rFonts w:eastAsiaTheme="minorHAnsi"/>
        </w:rPr>
        <w:t xml:space="preserve"> by 11.3%.</w:t>
      </w:r>
    </w:p>
    <w:p w14:paraId="292BCF58" w14:textId="3FA71764" w:rsidR="00410428" w:rsidRDefault="00410428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PPS Number queries decreased by 23.3%.</w:t>
      </w:r>
    </w:p>
    <w:p w14:paraId="233DB522" w14:textId="4412182F" w:rsidR="005E0EEC" w:rsidRPr="001E60A9" w:rsidRDefault="005E0EEC" w:rsidP="005E0EEC">
      <w:pPr>
        <w:jc w:val="both"/>
        <w:rPr>
          <w:b/>
          <w:bCs/>
        </w:rPr>
      </w:pPr>
      <w:r w:rsidRPr="001E60A9">
        <w:rPr>
          <w:b/>
          <w:bCs/>
        </w:rPr>
        <w:t>Benefits Check queries increased by 9.0%.</w:t>
      </w:r>
    </w:p>
    <w:p w14:paraId="187F8D97" w14:textId="6FA2AD51" w:rsidR="005E0EEC" w:rsidRPr="00410428" w:rsidRDefault="005E0EEC" w:rsidP="005E0EEC">
      <w:pPr>
        <w:jc w:val="both"/>
        <w:rPr>
          <w:b/>
          <w:bCs/>
        </w:rPr>
      </w:pPr>
      <w:r w:rsidRPr="00410428">
        <w:rPr>
          <w:b/>
          <w:bCs/>
        </w:rPr>
        <w:t>Appeals queries increased by 8.8%.</w:t>
      </w:r>
    </w:p>
    <w:p w14:paraId="7FFFF445" w14:textId="2B95AB85" w:rsidR="005E0EEC" w:rsidRDefault="005E0EEC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lastRenderedPageBreak/>
        <w:t>Disability Allowance appeals queries decreased by 5.6%.</w:t>
      </w:r>
    </w:p>
    <w:p w14:paraId="444D8E33" w14:textId="698A5830" w:rsidR="005E0EEC" w:rsidRPr="001E60A9" w:rsidRDefault="00730DCF" w:rsidP="00FA7285">
      <w:pPr>
        <w:pStyle w:val="ListParagraph"/>
        <w:numPr>
          <w:ilvl w:val="0"/>
          <w:numId w:val="24"/>
        </w:numPr>
        <w:rPr>
          <w:rFonts w:eastAsiaTheme="minorHAnsi"/>
          <w:b/>
          <w:bCs w:val="0"/>
        </w:rPr>
      </w:pPr>
      <w:proofErr w:type="gramStart"/>
      <w:r w:rsidRPr="001E60A9">
        <w:rPr>
          <w:rFonts w:eastAsiaTheme="minorHAnsi"/>
          <w:b/>
          <w:bCs w:val="0"/>
        </w:rPr>
        <w:t>Care</w:t>
      </w:r>
      <w:r>
        <w:rPr>
          <w:rFonts w:eastAsiaTheme="minorHAnsi"/>
          <w:b/>
          <w:bCs w:val="0"/>
        </w:rPr>
        <w:t>r’s</w:t>
      </w:r>
      <w:proofErr w:type="gramEnd"/>
      <w:r>
        <w:rPr>
          <w:rFonts w:eastAsiaTheme="minorHAnsi"/>
          <w:b/>
          <w:bCs w:val="0"/>
        </w:rPr>
        <w:t xml:space="preserve"> </w:t>
      </w:r>
      <w:r w:rsidR="005E0EEC" w:rsidRPr="001E60A9">
        <w:rPr>
          <w:rFonts w:eastAsiaTheme="minorHAnsi"/>
          <w:b/>
          <w:bCs w:val="0"/>
        </w:rPr>
        <w:t>Allowance/Benefit appeals queries increased by 15.8%.</w:t>
      </w:r>
    </w:p>
    <w:p w14:paraId="20623BB9" w14:textId="30147317" w:rsidR="005E0EEC" w:rsidRDefault="005E0EEC" w:rsidP="005E0EEC">
      <w:pPr>
        <w:jc w:val="both"/>
      </w:pPr>
      <w:r>
        <w:t>Death Related Benefits queries decreased by 10.2%.</w:t>
      </w:r>
    </w:p>
    <w:p w14:paraId="7E185B0B" w14:textId="1672AB9E" w:rsidR="005E0EEC" w:rsidRDefault="005E0EEC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 xml:space="preserve">Widow’s, </w:t>
      </w:r>
      <w:r w:rsidR="00730DCF">
        <w:rPr>
          <w:rFonts w:eastAsiaTheme="minorHAnsi"/>
        </w:rPr>
        <w:t>W</w:t>
      </w:r>
      <w:r>
        <w:rPr>
          <w:rFonts w:eastAsiaTheme="minorHAnsi"/>
        </w:rPr>
        <w:t>idower’s or Surviving Civil Partner’s (Contributory) Pension queries decreased by 17.8%.</w:t>
      </w:r>
    </w:p>
    <w:p w14:paraId="72D1267D" w14:textId="64E5BCC3" w:rsidR="005E0EEC" w:rsidRDefault="005E0EEC" w:rsidP="005E0EEC">
      <w:pPr>
        <w:jc w:val="both"/>
      </w:pPr>
      <w:r>
        <w:t>Activation Schemes, Education and Training queries decreased by 13.1%.</w:t>
      </w:r>
    </w:p>
    <w:p w14:paraId="52533358" w14:textId="12E8450B" w:rsidR="005E0EEC" w:rsidRDefault="005E0EEC" w:rsidP="00FA7285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Back to Education Allowance (BTEA) queries decreased by 8.6%.</w:t>
      </w:r>
    </w:p>
    <w:p w14:paraId="067CCD09" w14:textId="303D77CB" w:rsidR="003A521C" w:rsidRPr="001E60A9" w:rsidRDefault="003A521C" w:rsidP="003A521C">
      <w:pPr>
        <w:jc w:val="both"/>
        <w:rPr>
          <w:b/>
          <w:bCs/>
        </w:rPr>
      </w:pPr>
      <w:r w:rsidRPr="001E60A9">
        <w:rPr>
          <w:b/>
          <w:bCs/>
        </w:rPr>
        <w:t>Payments and Work queries increased by 3.5%.</w:t>
      </w:r>
    </w:p>
    <w:p w14:paraId="6DB09E75" w14:textId="4FC6997B" w:rsidR="005E7F49" w:rsidRPr="009C3859" w:rsidRDefault="005E7F49" w:rsidP="00586C6E">
      <w:pPr>
        <w:pStyle w:val="Heading2"/>
      </w:pPr>
      <w:r w:rsidRPr="009C3859">
        <w:t>Caller profile data relating to Social Welfare</w:t>
      </w:r>
    </w:p>
    <w:p w14:paraId="297A9587" w14:textId="2D55512C" w:rsidR="00B83087" w:rsidRPr="003A521C" w:rsidRDefault="00E876AE" w:rsidP="00FA7285">
      <w:pPr>
        <w:pStyle w:val="ListParagraph"/>
      </w:pPr>
      <w:r w:rsidRPr="003A521C">
        <w:t>42.</w:t>
      </w:r>
      <w:r w:rsidR="003A521C" w:rsidRPr="003A521C">
        <w:t>4</w:t>
      </w:r>
      <w:r w:rsidRPr="003A521C">
        <w:t xml:space="preserve">% of callers for Social Welfare </w:t>
      </w:r>
      <w:r w:rsidR="00586C6E" w:rsidRPr="003A521C">
        <w:t>were aged</w:t>
      </w:r>
      <w:r w:rsidRPr="003A521C">
        <w:t xml:space="preserve"> 46-65</w:t>
      </w:r>
      <w:r w:rsidR="0093614F" w:rsidRPr="003A521C">
        <w:t>, 3</w:t>
      </w:r>
      <w:r w:rsidR="003A521C" w:rsidRPr="003A521C">
        <w:t>2.1</w:t>
      </w:r>
      <w:r w:rsidR="0093614F" w:rsidRPr="003A521C">
        <w:t xml:space="preserve">% </w:t>
      </w:r>
      <w:r w:rsidR="00A2160B" w:rsidRPr="003A521C">
        <w:t>were aged</w:t>
      </w:r>
      <w:r w:rsidR="0093614F" w:rsidRPr="003A521C">
        <w:t xml:space="preserve"> 26-45 and </w:t>
      </w:r>
      <w:r w:rsidR="003A521C" w:rsidRPr="003A521C">
        <w:t>22.8</w:t>
      </w:r>
      <w:r w:rsidR="0093614F" w:rsidRPr="003A521C">
        <w:t xml:space="preserve">% </w:t>
      </w:r>
      <w:r w:rsidR="00A2160B" w:rsidRPr="003A521C">
        <w:t>were 66 and over</w:t>
      </w:r>
      <w:r w:rsidR="0093614F" w:rsidRPr="003A521C">
        <w:t>.</w:t>
      </w:r>
    </w:p>
    <w:p w14:paraId="16381035" w14:textId="41C46A91" w:rsidR="00E876AE" w:rsidRPr="003A521C" w:rsidRDefault="001A21F2" w:rsidP="00FA7285">
      <w:pPr>
        <w:pStyle w:val="ListParagraph"/>
      </w:pPr>
      <w:r w:rsidRPr="003A521C">
        <w:t>The 66</w:t>
      </w:r>
      <w:r w:rsidR="00A2160B" w:rsidRPr="003A521C">
        <w:t>-</w:t>
      </w:r>
      <w:r w:rsidRPr="003A521C">
        <w:t>and</w:t>
      </w:r>
      <w:r w:rsidR="00A2160B" w:rsidRPr="003A521C">
        <w:t>-</w:t>
      </w:r>
      <w:r w:rsidRPr="003A521C">
        <w:t xml:space="preserve">over age group accounted for </w:t>
      </w:r>
      <w:r w:rsidR="003A521C" w:rsidRPr="003A521C">
        <w:t>over</w:t>
      </w:r>
      <w:r w:rsidRPr="003A521C">
        <w:t xml:space="preserve"> 50% of </w:t>
      </w:r>
      <w:r w:rsidR="00A2160B" w:rsidRPr="003A521C">
        <w:t xml:space="preserve">people asking about </w:t>
      </w:r>
      <w:r w:rsidR="006C4293" w:rsidRPr="003A521C">
        <w:t>Extra Social Welfare Benefits, followed by 46-65 (3</w:t>
      </w:r>
      <w:r w:rsidR="003A521C" w:rsidRPr="003A521C">
        <w:t>3.8</w:t>
      </w:r>
      <w:r w:rsidR="006C4293" w:rsidRPr="003A521C">
        <w:t>%).</w:t>
      </w:r>
    </w:p>
    <w:p w14:paraId="142D0119" w14:textId="46024563" w:rsidR="006C4293" w:rsidRPr="003A521C" w:rsidRDefault="00586C6E" w:rsidP="00FA7285">
      <w:pPr>
        <w:pStyle w:val="ListParagraph"/>
      </w:pPr>
      <w:r w:rsidRPr="003A521C">
        <w:t>O</w:t>
      </w:r>
      <w:r w:rsidR="00296CC2" w:rsidRPr="003A521C">
        <w:t xml:space="preserve">f those who </w:t>
      </w:r>
      <w:r w:rsidR="004C5626">
        <w:t>enquired</w:t>
      </w:r>
      <w:r w:rsidR="004C5626" w:rsidRPr="003A521C">
        <w:t xml:space="preserve"> </w:t>
      </w:r>
      <w:r w:rsidR="00A2160B" w:rsidRPr="003A521C">
        <w:t>about</w:t>
      </w:r>
      <w:r w:rsidR="00296CC2" w:rsidRPr="003A521C">
        <w:t xml:space="preserve"> Disability and Illness</w:t>
      </w:r>
      <w:r w:rsidRPr="003A521C">
        <w:t>, 5</w:t>
      </w:r>
      <w:r w:rsidR="003A521C" w:rsidRPr="003A521C">
        <w:t>7.8</w:t>
      </w:r>
      <w:r w:rsidRPr="003A521C">
        <w:t xml:space="preserve">% </w:t>
      </w:r>
      <w:r w:rsidR="00A2160B" w:rsidRPr="003A521C">
        <w:t xml:space="preserve">were </w:t>
      </w:r>
      <w:r w:rsidR="008F2D9E" w:rsidRPr="003A521C">
        <w:t>aged 46</w:t>
      </w:r>
      <w:r w:rsidR="00B923FE" w:rsidRPr="003A521C">
        <w:t xml:space="preserve">-65, followed by </w:t>
      </w:r>
      <w:r w:rsidRPr="003A521C">
        <w:t>3</w:t>
      </w:r>
      <w:r w:rsidR="003A521C" w:rsidRPr="003A521C">
        <w:t>4.9</w:t>
      </w:r>
      <w:r w:rsidRPr="003A521C">
        <w:t>% aged</w:t>
      </w:r>
      <w:r w:rsidR="00B923FE" w:rsidRPr="003A521C">
        <w:t xml:space="preserve"> 26-</w:t>
      </w:r>
      <w:r w:rsidR="00A2160B" w:rsidRPr="003A521C">
        <w:t>45</w:t>
      </w:r>
      <w:r w:rsidR="00B923FE" w:rsidRPr="003A521C">
        <w:t>.</w:t>
      </w:r>
    </w:p>
    <w:p w14:paraId="309E9C1A" w14:textId="602CD3D6" w:rsidR="00B923FE" w:rsidRPr="003A521C" w:rsidRDefault="003A521C" w:rsidP="00FA7285">
      <w:pPr>
        <w:pStyle w:val="ListParagraph"/>
      </w:pPr>
      <w:r w:rsidRPr="003A521C">
        <w:t>56.1</w:t>
      </w:r>
      <w:r w:rsidR="00A142D6" w:rsidRPr="003A521C">
        <w:t>%</w:t>
      </w:r>
      <w:r w:rsidR="00CE5067" w:rsidRPr="003A521C">
        <w:t xml:space="preserve"> of calls relating to Older and </w:t>
      </w:r>
      <w:r w:rsidR="00A2160B" w:rsidRPr="003A521C">
        <w:t xml:space="preserve">Retired People </w:t>
      </w:r>
      <w:r w:rsidR="00CE5067" w:rsidRPr="003A521C">
        <w:t>came from the 46-65</w:t>
      </w:r>
      <w:r w:rsidR="00AD243E" w:rsidRPr="003A521C">
        <w:t xml:space="preserve"> age group</w:t>
      </w:r>
      <w:r w:rsidRPr="003A521C">
        <w:t xml:space="preserve">, followed by </w:t>
      </w:r>
      <w:r w:rsidR="00911210">
        <w:t>people aged 66 and over</w:t>
      </w:r>
      <w:r w:rsidRPr="003A521C">
        <w:t xml:space="preserve"> who accounted for 39.7%.</w:t>
      </w:r>
    </w:p>
    <w:p w14:paraId="41A061EB" w14:textId="2EA584E4" w:rsidR="00B923FE" w:rsidRPr="003A521C" w:rsidRDefault="008D4B0B" w:rsidP="00FA7285">
      <w:pPr>
        <w:pStyle w:val="ListParagraph"/>
      </w:pPr>
      <w:r w:rsidRPr="003A521C">
        <w:t>67.</w:t>
      </w:r>
      <w:r w:rsidR="003A521C" w:rsidRPr="003A521C">
        <w:t>6</w:t>
      </w:r>
      <w:r w:rsidRPr="003A521C">
        <w:t>% of calls about Families and Children came from the</w:t>
      </w:r>
      <w:r w:rsidR="00A3539D" w:rsidRPr="003A521C">
        <w:t xml:space="preserve"> </w:t>
      </w:r>
      <w:r w:rsidRPr="003A521C">
        <w:t>26-45 age group</w:t>
      </w:r>
      <w:r w:rsidR="00A3539D" w:rsidRPr="003A521C">
        <w:t>.</w:t>
      </w:r>
    </w:p>
    <w:p w14:paraId="474F893D" w14:textId="4F8D1978" w:rsidR="00A3539D" w:rsidRPr="003A521C" w:rsidRDefault="00A3539D" w:rsidP="00FA7285">
      <w:pPr>
        <w:pStyle w:val="ListParagraph"/>
      </w:pPr>
      <w:r w:rsidRPr="003A521C">
        <w:t>Carers calls came most</w:t>
      </w:r>
      <w:r w:rsidR="00A2160B" w:rsidRPr="003A521C">
        <w:t>ly</w:t>
      </w:r>
      <w:r w:rsidRPr="003A521C">
        <w:t xml:space="preserve"> from the </w:t>
      </w:r>
      <w:r w:rsidR="00CE71C7" w:rsidRPr="003A521C">
        <w:t>46-65</w:t>
      </w:r>
      <w:r w:rsidRPr="003A521C">
        <w:t xml:space="preserve"> age group</w:t>
      </w:r>
      <w:r w:rsidR="001036E8" w:rsidRPr="003A521C">
        <w:t xml:space="preserve"> (4</w:t>
      </w:r>
      <w:r w:rsidR="003A521C" w:rsidRPr="003A521C">
        <w:t>4.8</w:t>
      </w:r>
      <w:r w:rsidR="001036E8" w:rsidRPr="003A521C">
        <w:t>%)</w:t>
      </w:r>
      <w:r w:rsidRPr="003A521C">
        <w:t xml:space="preserve">, followed by the </w:t>
      </w:r>
      <w:r w:rsidR="00CE71C7" w:rsidRPr="003A521C">
        <w:t>26-45</w:t>
      </w:r>
      <w:r w:rsidR="00A2160B" w:rsidRPr="003A521C">
        <w:t xml:space="preserve"> age group</w:t>
      </w:r>
      <w:r w:rsidR="00CE71C7" w:rsidRPr="003A521C">
        <w:t xml:space="preserve"> (39.</w:t>
      </w:r>
      <w:r w:rsidR="003A521C" w:rsidRPr="003A521C">
        <w:t>1</w:t>
      </w:r>
      <w:r w:rsidR="00CE71C7" w:rsidRPr="003A521C">
        <w:t>%).</w:t>
      </w:r>
    </w:p>
    <w:p w14:paraId="2D03A160" w14:textId="3EF7577D" w:rsidR="001036E8" w:rsidRDefault="00A2160B" w:rsidP="00FA7285">
      <w:pPr>
        <w:pStyle w:val="ListParagraph"/>
      </w:pPr>
      <w:r w:rsidRPr="003A521C">
        <w:t xml:space="preserve">People enquiring about </w:t>
      </w:r>
      <w:r w:rsidR="00464F10" w:rsidRPr="003A521C">
        <w:t xml:space="preserve">Supplementary </w:t>
      </w:r>
      <w:r w:rsidRPr="003A521C">
        <w:t xml:space="preserve">Welfare </w:t>
      </w:r>
      <w:r w:rsidR="00464F10" w:rsidRPr="003A521C">
        <w:t xml:space="preserve">schemes came almost equally from the </w:t>
      </w:r>
      <w:r w:rsidR="003A521C" w:rsidRPr="003A521C">
        <w:t>46-65</w:t>
      </w:r>
      <w:r w:rsidR="00464F10" w:rsidRPr="003A521C">
        <w:t xml:space="preserve"> (4</w:t>
      </w:r>
      <w:r w:rsidR="003A521C" w:rsidRPr="003A521C">
        <w:t>1.9</w:t>
      </w:r>
      <w:r w:rsidR="00464F10" w:rsidRPr="003A521C">
        <w:t xml:space="preserve">%), and the </w:t>
      </w:r>
      <w:r w:rsidR="003A521C" w:rsidRPr="003A521C">
        <w:t>26-45</w:t>
      </w:r>
      <w:r w:rsidR="00464F10" w:rsidRPr="003A521C">
        <w:t xml:space="preserve"> age cohort (4</w:t>
      </w:r>
      <w:r w:rsidR="003A521C" w:rsidRPr="003A521C">
        <w:t>1.</w:t>
      </w:r>
      <w:r w:rsidR="00730DCF">
        <w:t>6</w:t>
      </w:r>
      <w:r w:rsidR="00464F10" w:rsidRPr="003A521C">
        <w:t>%)</w:t>
      </w:r>
      <w:r w:rsidR="00D07E4C" w:rsidRPr="003A521C">
        <w:t>.</w:t>
      </w:r>
    </w:p>
    <w:p w14:paraId="4DF82575" w14:textId="32C78FA9" w:rsidR="003A521C" w:rsidRDefault="003A521C" w:rsidP="00FA7285">
      <w:pPr>
        <w:pStyle w:val="ListParagraph"/>
      </w:pPr>
      <w:r>
        <w:t xml:space="preserve">56.6% of </w:t>
      </w:r>
      <w:r w:rsidR="00911210">
        <w:t xml:space="preserve">enquiries </w:t>
      </w:r>
      <w:r>
        <w:t>relating to Social Welfare came from Females, followed by 33.5% who were Males.</w:t>
      </w:r>
    </w:p>
    <w:p w14:paraId="5376DA3D" w14:textId="052F8321" w:rsidR="003A521C" w:rsidRDefault="003A521C" w:rsidP="00FA7285">
      <w:pPr>
        <w:pStyle w:val="ListParagraph"/>
      </w:pPr>
      <w:r>
        <w:t xml:space="preserve">41.4% of </w:t>
      </w:r>
      <w:r w:rsidR="00911210">
        <w:t xml:space="preserve">interactions </w:t>
      </w:r>
      <w:r>
        <w:t xml:space="preserve">about Social Welfare lasted 11-20 minutes, followed by 34.4% which were 10 minutes and under, then 19.8% </w:t>
      </w:r>
      <w:r w:rsidR="00911210">
        <w:t xml:space="preserve">lasting </w:t>
      </w:r>
      <w:r>
        <w:t>21-40 minutes.</w:t>
      </w:r>
    </w:p>
    <w:p w14:paraId="622DBD60" w14:textId="705EEDB2" w:rsidR="00816688" w:rsidRPr="00A30F3B" w:rsidRDefault="00911210" w:rsidP="00FA7285">
      <w:pPr>
        <w:pStyle w:val="ListParagraph"/>
      </w:pPr>
      <w:r>
        <w:t xml:space="preserve">In the case of </w:t>
      </w:r>
      <w:r w:rsidR="00A30F3B">
        <w:t xml:space="preserve">77.6% of </w:t>
      </w:r>
      <w:r>
        <w:t xml:space="preserve">people with a </w:t>
      </w:r>
      <w:r w:rsidR="00730DCF">
        <w:t>S</w:t>
      </w:r>
      <w:r>
        <w:t xml:space="preserve">ocial </w:t>
      </w:r>
      <w:r w:rsidR="00730DCF">
        <w:t>W</w:t>
      </w:r>
      <w:r>
        <w:t xml:space="preserve">elfare enquiry, their </w:t>
      </w:r>
      <w:r w:rsidR="00A30F3B">
        <w:t>country of origin was Ireland, Non-EU callers followed with 13.9%, lastly EU (excluding Ireland) which was 8.5%.</w:t>
      </w:r>
    </w:p>
    <w:p w14:paraId="0BB17DB2" w14:textId="3CAAFA19" w:rsidR="007F45EF" w:rsidRPr="00A30F3B" w:rsidRDefault="00942712" w:rsidP="00A30F3B">
      <w:pPr>
        <w:pStyle w:val="Heading3"/>
        <w:rPr>
          <w:sz w:val="28"/>
          <w:szCs w:val="28"/>
        </w:rPr>
      </w:pPr>
      <w:r w:rsidRPr="00F775CD">
        <w:rPr>
          <w:sz w:val="28"/>
          <w:szCs w:val="28"/>
        </w:rPr>
        <w:t xml:space="preserve">Table </w:t>
      </w:r>
      <w:r w:rsidR="00EE6517" w:rsidRPr="00F775CD">
        <w:rPr>
          <w:sz w:val="28"/>
          <w:szCs w:val="28"/>
        </w:rPr>
        <w:t>10</w:t>
      </w:r>
      <w:r w:rsidRPr="00F775CD">
        <w:rPr>
          <w:sz w:val="28"/>
          <w:szCs w:val="28"/>
        </w:rPr>
        <w:t xml:space="preserve"> – Social Welfare Query Breakdown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820"/>
        <w:gridCol w:w="2126"/>
        <w:gridCol w:w="3119"/>
      </w:tblGrid>
      <w:tr w:rsidR="007F45EF" w:rsidRPr="00586C6E" w14:paraId="6724D806" w14:textId="77777777" w:rsidTr="00FA7285">
        <w:trPr>
          <w:trHeight w:val="348"/>
        </w:trPr>
        <w:tc>
          <w:tcPr>
            <w:tcW w:w="48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181212DD" w14:textId="77777777" w:rsidR="007F45EF" w:rsidRPr="00313D15" w:rsidRDefault="007F45EF" w:rsidP="006A1094">
            <w:pPr>
              <w:spacing w:after="0" w:line="240" w:lineRule="auto"/>
              <w:jc w:val="center"/>
              <w:rPr>
                <w:b/>
                <w:bCs/>
              </w:rPr>
            </w:pPr>
            <w:r w:rsidRPr="00313D15">
              <w:rPr>
                <w:b/>
                <w:bCs/>
              </w:rPr>
              <w:t>Sub</w:t>
            </w:r>
            <w:r>
              <w:rPr>
                <w:b/>
                <w:bCs/>
              </w:rPr>
              <w:t>c</w:t>
            </w:r>
            <w:r w:rsidRPr="00313D15">
              <w:rPr>
                <w:b/>
                <w:bCs/>
              </w:rPr>
              <w:t>ategory Breakdown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086A79E3" w14:textId="77777777" w:rsidR="007F45EF" w:rsidRPr="00313D15" w:rsidRDefault="007F45EF" w:rsidP="006A1094">
            <w:pPr>
              <w:spacing w:after="0" w:line="240" w:lineRule="auto"/>
              <w:jc w:val="center"/>
              <w:rPr>
                <w:b/>
                <w:bCs/>
              </w:rPr>
            </w:pPr>
            <w:r w:rsidRPr="00313D15">
              <w:rPr>
                <w:b/>
                <w:bCs/>
              </w:rPr>
              <w:t># of Queries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hideMark/>
          </w:tcPr>
          <w:p w14:paraId="77D2A585" w14:textId="77777777" w:rsidR="007F45EF" w:rsidRPr="00313D15" w:rsidRDefault="007F45EF" w:rsidP="006A1094">
            <w:pPr>
              <w:spacing w:after="0" w:line="240" w:lineRule="auto"/>
              <w:ind w:left="-111" w:firstLine="2"/>
              <w:jc w:val="center"/>
              <w:rPr>
                <w:b/>
                <w:bCs/>
              </w:rPr>
            </w:pPr>
            <w:r w:rsidRPr="00313D15">
              <w:rPr>
                <w:b/>
                <w:bCs/>
              </w:rPr>
              <w:t>% of Subcategory</w:t>
            </w:r>
          </w:p>
        </w:tc>
      </w:tr>
      <w:tr w:rsidR="007F45EF" w:rsidRPr="00586C6E" w14:paraId="5489C01A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805000" w14:textId="320A440C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665162">
              <w:rPr>
                <w:b/>
                <w:bCs/>
              </w:rPr>
              <w:t xml:space="preserve">Extra Social Welfare Benefits   </w:t>
            </w:r>
            <w:r w:rsidRPr="00586C6E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    </w:t>
            </w:r>
            <w:r w:rsidRPr="00586C6E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                             </w:t>
            </w:r>
            <w:r w:rsidR="00F570F7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Pr="00586C6E">
              <w:rPr>
                <w:b/>
                <w:bCs/>
              </w:rPr>
              <w:t>1</w:t>
            </w:r>
            <w:r w:rsidR="00F570F7">
              <w:rPr>
                <w:b/>
                <w:bCs/>
              </w:rPr>
              <w:t>9.3</w:t>
            </w:r>
            <w:r w:rsidRPr="00586C6E">
              <w:rPr>
                <w:b/>
                <w:bCs/>
              </w:rPr>
              <w:t xml:space="preserve">%   </w:t>
            </w:r>
          </w:p>
        </w:tc>
      </w:tr>
      <w:tr w:rsidR="007F45EF" w:rsidRPr="00586C6E" w14:paraId="046D1FB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39B96D0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Fuel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2F57C95" w14:textId="071CCC08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EB943DB" w14:textId="3CB257F8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8B33F5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965C228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Household Benefits Package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FD67835" w14:textId="3032F7C0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1CE76DF" w14:textId="6E578E2B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C9928E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F9125BA" w14:textId="238C07C3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 xml:space="preserve">Living Alone Increase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E610A7E" w14:textId="37A0919B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BDC46EA" w14:textId="550F0B0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F570F7">
              <w:rPr>
                <w:sz w:val="20"/>
                <w:szCs w:val="20"/>
              </w:rPr>
              <w:t>3.0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9CABAB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AC2A146" w14:textId="4E127D4F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Free Travel (Travel Card, Companion Card, etc.)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7B1CA3A" w14:textId="11AA873A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AA7FE11" w14:textId="29033BDE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F570F7">
              <w:rPr>
                <w:sz w:val="20"/>
                <w:szCs w:val="20"/>
              </w:rPr>
              <w:t>0.8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C34F20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1694DC6" w14:textId="5E26C018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Cost of Living Increases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FD9A2BB" w14:textId="7C1EBB0D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B44DF3E" w14:textId="69238045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9E5B1A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6354889" w14:textId="135ADD09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 xml:space="preserve">Christmas Bonus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52C9BE5" w14:textId="3D15D36B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B6557CA" w14:textId="2A545554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.</w:t>
            </w:r>
            <w:r w:rsidR="00F570F7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ACE5E2A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BDE3D20" w14:textId="1FDE5393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Telephone Support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7DBB118" w14:textId="30041A57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225AF9A" w14:textId="5E17AE88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4CF0BA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9FF6C71" w14:textId="5EF2FC03" w:rsidR="007F45EF" w:rsidRPr="00507F96" w:rsidRDefault="00F570F7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Treatment Benefits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6F00D48" w14:textId="1B4290BB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23A6204" w14:textId="12F84F90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F570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</w:tr>
      <w:tr w:rsidR="007F45EF" w:rsidRPr="00586C6E" w14:paraId="20C4D3D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5FE8AC4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</w:t>
            </w:r>
            <w:r w:rsidRPr="00313D15">
              <w:rPr>
                <w:b/>
                <w:bCs/>
                <w:sz w:val="20"/>
                <w:szCs w:val="20"/>
                <w:shd w:val="clear" w:color="auto" w:fill="DFECEB" w:themeFill="accent6" w:themeFillTint="33"/>
              </w:rPr>
              <w:t>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1E422A" w14:textId="12477BF1" w:rsidR="007F45EF" w:rsidRPr="00586C6E" w:rsidRDefault="00F570F7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DD319A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7706C12B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9FE977F" w14:textId="2DCEB6D8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665162">
              <w:rPr>
                <w:b/>
                <w:bCs/>
              </w:rPr>
              <w:t xml:space="preserve">Disability and Illness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665162">
              <w:rPr>
                <w:b/>
                <w:bCs/>
              </w:rPr>
              <w:t xml:space="preserve">                                                            </w:t>
            </w:r>
            <w:r w:rsidR="00F570F7">
              <w:rPr>
                <w:b/>
                <w:bCs/>
              </w:rPr>
              <w:t xml:space="preserve">        </w:t>
            </w:r>
            <w:r w:rsidRPr="00586C6E">
              <w:rPr>
                <w:b/>
                <w:bCs/>
              </w:rPr>
              <w:t>1</w:t>
            </w:r>
            <w:r w:rsidR="00F570F7">
              <w:rPr>
                <w:b/>
                <w:bCs/>
              </w:rPr>
              <w:t>4.7</w:t>
            </w:r>
            <w:r w:rsidRPr="00586C6E">
              <w:rPr>
                <w:b/>
                <w:bCs/>
              </w:rPr>
              <w:t xml:space="preserve">%            </w:t>
            </w:r>
          </w:p>
        </w:tc>
      </w:tr>
      <w:tr w:rsidR="007F45EF" w:rsidRPr="00586C6E" w14:paraId="5ED91D3E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92D8D40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Disability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390A931" w14:textId="5F4598B3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B78795" w14:textId="1AA61EB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49.</w:t>
            </w:r>
            <w:r w:rsidR="00C5366D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C2052A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A43C39E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lastRenderedPageBreak/>
              <w:t>Illness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B4540D" w14:textId="646C0143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092D6C" w14:textId="7142D24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  <w:r w:rsidR="00C5366D">
              <w:rPr>
                <w:sz w:val="20"/>
                <w:szCs w:val="20"/>
              </w:rPr>
              <w:t>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CACB731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F0F1F37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Invalidity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2D5F51" w14:textId="3B62CD39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AE7433" w14:textId="2E6CB44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5366D">
              <w:rPr>
                <w:sz w:val="20"/>
                <w:szCs w:val="20"/>
              </w:rPr>
              <w:t>8.5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C02900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8FCDDDF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Partial Capacity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D86C48" w14:textId="7CAE9DE2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BEEFCD" w14:textId="0D991A8C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</w:t>
            </w:r>
            <w:r w:rsidR="00C5366D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C780D8A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95BF617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Injury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FCCE3D" w14:textId="48C49DBC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80B3A2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3BF516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4AC501C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Occupational Injuries Benefit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18A0801" w14:textId="4475D63D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761F34B" w14:textId="1046C3C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C5366D"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BFCCB4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DA37986" w14:textId="77777777" w:rsidR="007F45EF" w:rsidRPr="00507F9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07F96">
              <w:rPr>
                <w:sz w:val="20"/>
                <w:szCs w:val="20"/>
              </w:rPr>
              <w:t>Other Payment (Blind Pension/Other)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379C2A1" w14:textId="5DC21218" w:rsidR="007F45EF" w:rsidRPr="00586C6E" w:rsidRDefault="00F570F7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12C4FC4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1.0%</w:t>
            </w:r>
          </w:p>
        </w:tc>
      </w:tr>
      <w:tr w:rsidR="007F45EF" w:rsidRPr="00586C6E" w14:paraId="3960365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C100C2F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EB03E5D" w14:textId="16C7E548" w:rsidR="007F45EF" w:rsidRPr="00586C6E" w:rsidRDefault="00F570F7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A556713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093DB911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10A95A" w14:textId="26E0ECDA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665162">
              <w:rPr>
                <w:b/>
                <w:bCs/>
              </w:rPr>
              <w:t xml:space="preserve">Older and Retired People                                           </w:t>
            </w:r>
            <w:r>
              <w:rPr>
                <w:b/>
                <w:bCs/>
              </w:rPr>
              <w:t xml:space="preserve"> </w:t>
            </w:r>
            <w:r w:rsidRPr="00665162">
              <w:rPr>
                <w:b/>
                <w:bCs/>
              </w:rPr>
              <w:t xml:space="preserve">                                                                          </w:t>
            </w:r>
            <w:r w:rsidR="00F570F7">
              <w:rPr>
                <w:b/>
                <w:bCs/>
              </w:rPr>
              <w:t xml:space="preserve">      12.7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3512C55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FF16CB6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State Pension/Contributory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BE44A0D" w14:textId="040FE5EE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FF99695" w14:textId="168E7D15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</w:t>
            </w:r>
            <w:r w:rsidR="000661B2">
              <w:rPr>
                <w:sz w:val="20"/>
                <w:szCs w:val="20"/>
              </w:rPr>
              <w:t>3.1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9C0AE5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C2A8EED" w14:textId="5F1705F6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State Pension/</w:t>
            </w:r>
            <w:proofErr w:type="gramStart"/>
            <w:r w:rsidRPr="00586C6E">
              <w:rPr>
                <w:sz w:val="20"/>
                <w:szCs w:val="20"/>
              </w:rPr>
              <w:t>Non</w:t>
            </w:r>
            <w:r w:rsidR="00C5366D">
              <w:rPr>
                <w:sz w:val="20"/>
                <w:szCs w:val="20"/>
              </w:rPr>
              <w:t xml:space="preserve"> </w:t>
            </w:r>
            <w:r w:rsidRPr="00586C6E">
              <w:rPr>
                <w:sz w:val="20"/>
                <w:szCs w:val="20"/>
              </w:rPr>
              <w:t>Contributory</w:t>
            </w:r>
            <w:proofErr w:type="gramEnd"/>
            <w:r w:rsidRPr="00586C6E">
              <w:rPr>
                <w:sz w:val="20"/>
                <w:szCs w:val="20"/>
              </w:rPr>
              <w:t xml:space="preserve">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7B9E386" w14:textId="7BD4210B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15A8C2F" w14:textId="2E66547C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</w:t>
            </w:r>
            <w:r w:rsidR="000661B2">
              <w:rPr>
                <w:sz w:val="20"/>
                <w:szCs w:val="20"/>
              </w:rPr>
              <w:t>5.2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74F03E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FECC2C0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Payment for people who retire at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8F831DD" w14:textId="6EB5ADBD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49DDDB4" w14:textId="6ADD8444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0661B2">
              <w:rPr>
                <w:sz w:val="20"/>
                <w:szCs w:val="20"/>
              </w:rPr>
              <w:t>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EF4ACF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D549F22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Qualified Adults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269D7BC" w14:textId="2F177F11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1860EDB" w14:textId="103A67D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661B2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E30913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B9B7B07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UK Pensions/Brexit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6CBC7D0" w14:textId="09BFBC8C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BD2B3D" w14:textId="532F4DE0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661B2">
              <w:rPr>
                <w:sz w:val="20"/>
                <w:szCs w:val="20"/>
              </w:rPr>
              <w:t>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48B66C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8408EFA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Homemakers Scheme/HomeCaring Periods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B9E10B" w14:textId="1FF9FF05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FB1CC4" w14:textId="7D5FCC04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661B2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31C932A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2F245B2" w14:textId="77777777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EU/International Pensions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6884FE" w14:textId="1297C64F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C3017B" w14:textId="77C98868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0661B2"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D223DB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A469709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11D19DF" w14:textId="1ED7A9C4" w:rsidR="007F45EF" w:rsidRPr="00586C6E" w:rsidRDefault="000661B2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476658B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7BDE2C7C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45A591FB" w14:textId="3958F709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07C1C">
              <w:rPr>
                <w:b/>
                <w:bCs/>
              </w:rPr>
              <w:t>Carers</w:t>
            </w:r>
            <w:r w:rsidRPr="00586C6E">
              <w:rPr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                            </w:t>
            </w:r>
            <w:r w:rsidR="000661B2">
              <w:rPr>
                <w:b/>
                <w:bCs/>
              </w:rPr>
              <w:t xml:space="preserve">           </w:t>
            </w:r>
            <w:r w:rsidRPr="00586C6E">
              <w:rPr>
                <w:b/>
                <w:bCs/>
              </w:rPr>
              <w:t xml:space="preserve">   10.</w:t>
            </w:r>
            <w:r w:rsidR="000661B2">
              <w:rPr>
                <w:b/>
                <w:bCs/>
              </w:rPr>
              <w:t>2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10339C3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55D9D3E" w14:textId="77777777" w:rsidR="007F45EF" w:rsidRPr="00407C1C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Carer's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366014E" w14:textId="42D06292" w:rsidR="007F45EF" w:rsidRPr="00407C1C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B4CE680" w14:textId="09BB34C9" w:rsidR="007F45EF" w:rsidRPr="00407C1C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60.</w:t>
            </w:r>
            <w:r w:rsidR="000661B2">
              <w:rPr>
                <w:sz w:val="20"/>
                <w:szCs w:val="20"/>
              </w:rPr>
              <w:t>1</w:t>
            </w:r>
            <w:r w:rsidRPr="00407C1C">
              <w:rPr>
                <w:sz w:val="20"/>
                <w:szCs w:val="20"/>
              </w:rPr>
              <w:t>%</w:t>
            </w:r>
          </w:p>
        </w:tc>
      </w:tr>
      <w:tr w:rsidR="007F45EF" w:rsidRPr="00586C6E" w14:paraId="3F50AB8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6FB8F31" w14:textId="5FC59468" w:rsidR="007F45EF" w:rsidRPr="00407C1C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Domiciliary Care Allowance (DCA)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BB115A8" w14:textId="4BD0D40B" w:rsidR="007F45EF" w:rsidRPr="00407C1C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398931D" w14:textId="69C7CC56" w:rsidR="007F45EF" w:rsidRPr="00407C1C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61B2">
              <w:rPr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>%</w:t>
            </w:r>
          </w:p>
        </w:tc>
      </w:tr>
      <w:tr w:rsidR="007F45EF" w:rsidRPr="00586C6E" w14:paraId="622F0D9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4D06A54" w14:textId="7D73D529" w:rsidR="007F45EF" w:rsidRPr="00407C1C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 xml:space="preserve">Carer's Benefit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A8BD2AA" w14:textId="3B88FF74" w:rsidR="007F45EF" w:rsidRPr="00407C1C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11D7570" w14:textId="0E08F1B8" w:rsidR="007F45EF" w:rsidRPr="00407C1C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0661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</w:tr>
      <w:tr w:rsidR="007F45EF" w:rsidRPr="00586C6E" w14:paraId="6E7A6B11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228899C" w14:textId="77777777" w:rsidR="007F45EF" w:rsidRPr="00407C1C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Carer</w:t>
            </w:r>
            <w:r>
              <w:rPr>
                <w:sz w:val="20"/>
                <w:szCs w:val="20"/>
              </w:rPr>
              <w:t>'</w:t>
            </w:r>
            <w:r w:rsidRPr="00407C1C">
              <w:rPr>
                <w:sz w:val="20"/>
                <w:szCs w:val="20"/>
              </w:rPr>
              <w:t>s Support Grant (Respite Care Grant)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833F65F" w14:textId="44C23650" w:rsidR="007F45EF" w:rsidRPr="00407C1C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C7F6609" w14:textId="4959AA5A" w:rsidR="007F45EF" w:rsidRPr="00407C1C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0661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</w:t>
            </w:r>
          </w:p>
        </w:tc>
      </w:tr>
      <w:tr w:rsidR="007F45EF" w:rsidRPr="00586C6E" w14:paraId="453F934A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96A587E" w14:textId="77777777" w:rsidR="007F45EF" w:rsidRPr="00407C1C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407C1C">
              <w:rPr>
                <w:sz w:val="20"/>
                <w:szCs w:val="20"/>
              </w:rPr>
              <w:t>Half-rate Carer's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FD1DA94" w14:textId="4EE7577A" w:rsidR="007F45EF" w:rsidRPr="00407C1C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0BB1C76" w14:textId="77777777" w:rsidR="007F45EF" w:rsidRPr="00407C1C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6.5%</w:t>
            </w:r>
          </w:p>
        </w:tc>
      </w:tr>
      <w:tr w:rsidR="007F45EF" w:rsidRPr="00586C6E" w14:paraId="27F4730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3024F1B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AA194C0" w14:textId="3F65E553" w:rsidR="007F45EF" w:rsidRDefault="000661B2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3D470B4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3E4DCCD1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EE5C0A" w14:textId="3EF50431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407C1C">
              <w:rPr>
                <w:b/>
                <w:bCs/>
              </w:rPr>
              <w:t xml:space="preserve">Families and Children                                                                                                                           </w:t>
            </w:r>
            <w:r w:rsidR="000661B2">
              <w:rPr>
                <w:b/>
                <w:bCs/>
              </w:rPr>
              <w:t xml:space="preserve">          8.9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1578A7A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9B737F4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 xml:space="preserve">Working Family Payment (WFP)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4EA772A" w14:textId="68F6C82F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1EA52D7" w14:textId="2E7FF00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 w:rsidR="000661B2">
              <w:rPr>
                <w:sz w:val="20"/>
                <w:szCs w:val="20"/>
              </w:rPr>
              <w:t>4.7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BA4022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0C43EDB" w14:textId="3AF18561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 xml:space="preserve">Child Benefit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AC4734" w14:textId="02E7D60D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346218" w14:textId="12241C61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A60E7F8" w14:textId="77777777" w:rsidTr="00FA7285">
        <w:trPr>
          <w:trHeight w:val="289"/>
        </w:trPr>
        <w:tc>
          <w:tcPr>
            <w:tcW w:w="4820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DF30D98" w14:textId="5E96B74C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One Parent Family Payment (OFP)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05D7D59" w14:textId="4A83E198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9EA65C" w14:textId="011E99A4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</w:t>
            </w:r>
            <w:r w:rsidR="000661B2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682E9A4" w14:textId="77777777" w:rsidTr="00FA7285">
        <w:trPr>
          <w:trHeight w:val="289"/>
        </w:trPr>
        <w:tc>
          <w:tcPr>
            <w:tcW w:w="482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2AFF90C" w14:textId="239F4880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 xml:space="preserve">Maternity/ Adoptive Benefit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F2270A" w14:textId="2E6D3455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D070C4" w14:textId="1E865A45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0661B2">
              <w:rPr>
                <w:sz w:val="20"/>
                <w:szCs w:val="20"/>
              </w:rPr>
              <w:t>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0DEB8A1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74A1BA3" w14:textId="47B3DC0D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Increase for a Qualified Adult (IQA))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112F4A2" w14:textId="057A7EA5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F3FE270" w14:textId="20261236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7BACAB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B5DDF71" w14:textId="1A4256BC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Increase for a Qualified Child (IQC)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51BB8F" w14:textId="6F52E509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9517B2" w14:textId="0D5886CF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A418FD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4000ADA" w14:textId="4EA34F2C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Parent's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AD1967" w14:textId="74126F30" w:rsidR="007F45EF" w:rsidRPr="00586C6E" w:rsidRDefault="000661B2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B42D7B" w14:textId="00F3B055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0661B2">
              <w:rPr>
                <w:sz w:val="20"/>
                <w:szCs w:val="20"/>
              </w:rPr>
              <w:t>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9A3131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0380D5F" w14:textId="595A0911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Paternity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65EB09" w14:textId="0F3C7FE8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61B2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F6A19F" w14:textId="502B2F6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61B2">
              <w:rPr>
                <w:sz w:val="20"/>
                <w:szCs w:val="20"/>
              </w:rPr>
              <w:t>.9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3A5E2B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01F903A" w14:textId="5B09A282" w:rsidR="007F45EF" w:rsidRPr="00991732" w:rsidRDefault="000661B2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Back to School Clothing &amp; Footwear Allowance (BTSCFA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ECD01E" w14:textId="29418960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F900F1" w14:textId="7C216010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62C19">
              <w:rPr>
                <w:sz w:val="20"/>
                <w:szCs w:val="20"/>
              </w:rPr>
              <w:t>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A74517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DF72CB2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Back to Work Family Dividend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E7A7490" w14:textId="4311CA7D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D6B897" w14:textId="2936E7DC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62C19">
              <w:rPr>
                <w:sz w:val="20"/>
                <w:szCs w:val="20"/>
              </w:rPr>
              <w:t>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BC3FA1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B674A68" w14:textId="01426218" w:rsidR="007F45EF" w:rsidRPr="00991732" w:rsidRDefault="00C62C19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 xml:space="preserve">Deserted Wife's Benefit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9E4663" w14:textId="18F20AC5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FEE5D5" w14:textId="4A31E5F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C62C19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F0C999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85F0D4A" w14:textId="6AB9E66B" w:rsidR="007F45EF" w:rsidRPr="00991732" w:rsidRDefault="00C62C19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Health and Safety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8DB929" w14:textId="41275855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05153D" w14:textId="76C5955F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C62C19"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05E8B2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16D9DFB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Deserted Wife's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529BBF" w14:textId="4289A43F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2DC801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0.0%</w:t>
            </w:r>
          </w:p>
        </w:tc>
      </w:tr>
      <w:tr w:rsidR="007F45EF" w:rsidRPr="00586C6E" w14:paraId="280221F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60C56BE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688421" w14:textId="54E9EA51" w:rsidR="007F45EF" w:rsidRPr="00586C6E" w:rsidRDefault="000661B2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6,936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A195F1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154C7966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4DE7571" w14:textId="4B17EA45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991732">
              <w:rPr>
                <w:b/>
                <w:bCs/>
              </w:rPr>
              <w:t xml:space="preserve">Supplementary Welfare Schemes             </w:t>
            </w:r>
            <w:r w:rsidRPr="00586C6E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b/>
                <w:bCs/>
              </w:rPr>
              <w:t xml:space="preserve">  </w:t>
            </w:r>
            <w:r w:rsidRPr="00586C6E">
              <w:rPr>
                <w:b/>
                <w:bCs/>
              </w:rPr>
              <w:t xml:space="preserve">  </w:t>
            </w:r>
            <w:r w:rsidR="00C62C19">
              <w:rPr>
                <w:b/>
                <w:bCs/>
              </w:rPr>
              <w:t xml:space="preserve">   </w:t>
            </w:r>
            <w:r w:rsidRPr="00586C6E">
              <w:rPr>
                <w:b/>
                <w:bCs/>
              </w:rPr>
              <w:t xml:space="preserve"> 8.</w:t>
            </w:r>
            <w:r w:rsidR="00C62C19">
              <w:rPr>
                <w:b/>
                <w:bCs/>
              </w:rPr>
              <w:t>4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31790DF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1D9EF95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Basic Supplementary Welfare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C90372" w14:textId="6E873448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A95D780" w14:textId="068730E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</w:t>
            </w:r>
            <w:r w:rsidR="00C62C19">
              <w:rPr>
                <w:sz w:val="20"/>
                <w:szCs w:val="20"/>
              </w:rPr>
              <w:t>8.6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EC2659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C1A5724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Additional Needs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8DA457" w14:textId="6D69E1C1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E69A82" w14:textId="3036B53E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 w:rsidR="00C62C19">
              <w:rPr>
                <w:sz w:val="20"/>
                <w:szCs w:val="20"/>
              </w:rPr>
              <w:t>8.8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A77322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2BF145D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Rent Supplement (RS)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7CFF77" w14:textId="6AE14549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613D3E" w14:textId="5DD75C1A" w:rsidR="007F45EF" w:rsidRPr="00586C6E" w:rsidRDefault="007F45EF" w:rsidP="00C62C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62C19"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62FE99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9CC4967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Diet/Heating Supplement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28CDA8" w14:textId="163DAB4E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668CAE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408CB7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7205144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Mortgage Interest Supplement (MIS)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DA85A1" w14:textId="7C36D478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4548DB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0.0%</w:t>
            </w:r>
          </w:p>
        </w:tc>
      </w:tr>
      <w:tr w:rsidR="007F45EF" w:rsidRPr="00586C6E" w14:paraId="19BDC1D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0720F6F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C6FD8D" w14:textId="63F5D514" w:rsidR="007F45EF" w:rsidRPr="00586C6E" w:rsidRDefault="00C62C19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F9D719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11D8FCD6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C2DE5B" w14:textId="15A1EDE7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991732">
              <w:rPr>
                <w:b/>
                <w:bCs/>
              </w:rPr>
              <w:t xml:space="preserve">Unemployed People                                          </w:t>
            </w:r>
            <w:r>
              <w:rPr>
                <w:b/>
                <w:bCs/>
              </w:rPr>
              <w:t xml:space="preserve"> </w:t>
            </w:r>
            <w:r w:rsidRPr="00991732">
              <w:rPr>
                <w:b/>
                <w:bCs/>
              </w:rPr>
              <w:t xml:space="preserve">                                                                                    </w:t>
            </w:r>
            <w:r w:rsidR="00C62C19">
              <w:rPr>
                <w:b/>
                <w:bCs/>
              </w:rPr>
              <w:t xml:space="preserve">       </w:t>
            </w:r>
            <w:r w:rsidRPr="00991732">
              <w:rPr>
                <w:b/>
                <w:bCs/>
              </w:rPr>
              <w:t xml:space="preserve"> </w:t>
            </w:r>
            <w:r w:rsidR="00C62C19">
              <w:rPr>
                <w:b/>
                <w:bCs/>
              </w:rPr>
              <w:t>7.8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4838F70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C6864EC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Jobseeker's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BF4A100" w14:textId="6562407B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2D17316" w14:textId="55FB82F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5</w:t>
            </w:r>
            <w:r w:rsidR="00C62C19">
              <w:rPr>
                <w:sz w:val="20"/>
                <w:szCs w:val="20"/>
              </w:rPr>
              <w:t>6.4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0A9C5C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C696776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Jobseeker's Benefit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2B3023F" w14:textId="3C376867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869DF57" w14:textId="3824B284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30.</w:t>
            </w:r>
            <w:r w:rsidR="00C62C19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A4FED4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C15447A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Jobseeker's Transitional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26F0C65A" w14:textId="67AB9C26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DF63B5A" w14:textId="2A3C9AB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6.</w:t>
            </w:r>
            <w:r w:rsidR="00C62C19">
              <w:rPr>
                <w:sz w:val="20"/>
                <w:szCs w:val="20"/>
              </w:rPr>
              <w:t>0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F8327E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74ED5E0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Social Welfare Payments and Work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66FA95F" w14:textId="11333544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4C187CA" w14:textId="193A3EBE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E92618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59E8263" w14:textId="77777777" w:rsidR="007F45EF" w:rsidRPr="00991732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991732">
              <w:rPr>
                <w:sz w:val="20"/>
                <w:szCs w:val="20"/>
              </w:rPr>
              <w:t>Unemployed following self-employment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CFCF604" w14:textId="4233EF14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F76E093" w14:textId="6C53C43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C62C19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41EBCD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0B4A19C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CA8932B" w14:textId="55229D99" w:rsidR="007F45EF" w:rsidRPr="00586C6E" w:rsidRDefault="00C62C19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A22CCFC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21563994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A3F16B0" w14:textId="0F27F2EE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0250AF">
              <w:rPr>
                <w:b/>
                <w:bCs/>
              </w:rPr>
              <w:t xml:space="preserve">Social Welfare Miscellaneous                                    </w:t>
            </w:r>
            <w:r>
              <w:rPr>
                <w:b/>
                <w:bCs/>
              </w:rPr>
              <w:t xml:space="preserve">  </w:t>
            </w:r>
            <w:r w:rsidRPr="000250AF">
              <w:rPr>
                <w:b/>
                <w:bCs/>
              </w:rPr>
              <w:t xml:space="preserve">                                                                            </w:t>
            </w:r>
            <w:r w:rsidR="00C62C19">
              <w:rPr>
                <w:b/>
                <w:bCs/>
              </w:rPr>
              <w:t xml:space="preserve">    6.1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2B9D1A0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3EB9BDD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C73080" w14:textId="73270735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9C4F5A" w14:textId="29A8FB78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 w:rsidR="00C62C19">
              <w:rPr>
                <w:sz w:val="20"/>
                <w:szCs w:val="20"/>
              </w:rPr>
              <w:t>7.2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96CDB27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4FC0D9B" w14:textId="6191B49B" w:rsidR="007F45EF" w:rsidRPr="000250AF" w:rsidRDefault="00C62C19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 xml:space="preserve">Means Tests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A2BA58" w14:textId="2031551E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D37CF0" w14:textId="786A585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62C19">
              <w:rPr>
                <w:sz w:val="20"/>
                <w:szCs w:val="20"/>
              </w:rPr>
              <w:t>6.6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5CD8A31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0204A74" w14:textId="2DCA8F87" w:rsidR="007F45EF" w:rsidRPr="000250AF" w:rsidRDefault="00C62C19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Public Services Card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D4EB1B" w14:textId="73A36CE5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4C2FAC" w14:textId="3D1678EB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62C19">
              <w:rPr>
                <w:sz w:val="20"/>
                <w:szCs w:val="20"/>
              </w:rPr>
              <w:t>4.4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55C3CE1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93B2FD3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Habitual Residence Condition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A68A11" w14:textId="5100734C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0B94E7" w14:textId="0758D013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62C19">
              <w:rPr>
                <w:sz w:val="20"/>
                <w:szCs w:val="20"/>
              </w:rPr>
              <w:t>2.1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958C49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E987136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MyWelfare.ie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3BE68E" w14:textId="14CA316F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08A96E" w14:textId="774230F0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C62C19">
              <w:rPr>
                <w:sz w:val="20"/>
                <w:szCs w:val="20"/>
              </w:rPr>
              <w:t>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15B8067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D7BAB35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Overpayments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63C082" w14:textId="5AACCC26" w:rsidR="007F45EF" w:rsidRPr="00586C6E" w:rsidRDefault="00C62C19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DD142A" w14:textId="6FFDDDAC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CA38E8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EDC6F5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E59ADB0" w14:textId="04E884A6" w:rsidR="007F45EF" w:rsidRPr="000250AF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 xml:space="preserve">UK Entitlements </w:t>
            </w:r>
            <w:r>
              <w:rPr>
                <w:sz w:val="20"/>
                <w:szCs w:val="20"/>
              </w:rPr>
              <w:t>/</w:t>
            </w:r>
            <w:r w:rsidRPr="000250AF">
              <w:rPr>
                <w:sz w:val="20"/>
                <w:szCs w:val="20"/>
              </w:rPr>
              <w:t xml:space="preserve">Brexit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68EA3D" w14:textId="3BF50632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EF13EE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F84315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9A873A8" w14:textId="6735895A" w:rsidR="007F45EF" w:rsidRPr="000250AF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EU Contributions and Entitlements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69FB6D" w14:textId="4F712112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DF6721" w14:textId="44BBB43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CA38E8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DF6F3D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D665E20" w14:textId="46B1A5C3" w:rsidR="007F45EF" w:rsidRPr="000250AF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 xml:space="preserve">Nominating agent to collect SW payments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35EB50" w14:textId="7799AC74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910EF1" w14:textId="28C676F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CA38E8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7AA988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5F55319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SW Inspectors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F81D7AC" w14:textId="59CF2367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3BC968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05517B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6A9ABA3" w14:textId="28310ED8" w:rsidR="007F45EF" w:rsidRPr="000250AF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Late Claims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62A6214" w14:textId="05D6EC5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38E8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3019F9C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3A555F7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B7C6EFF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EU/EEA/Switzerland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BB1576" w14:textId="26AC3BA9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333C83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4A4171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8DFBF8B" w14:textId="77777777" w:rsidR="007F45EF" w:rsidRPr="000250A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Insolvency Payments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C41708" w14:textId="664DF3C8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B45815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C785F7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61691C4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E2DFE6" w14:textId="78A369DC" w:rsidR="007F45EF" w:rsidRPr="00586C6E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CB45046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2D7B8E6C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50F3A130" w14:textId="41515614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b/>
                <w:bCs/>
              </w:rPr>
              <w:t>Social Insurance (PRSI)</w:t>
            </w:r>
            <w:r w:rsidRPr="00586C6E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 w:rsidR="00CA38E8">
              <w:rPr>
                <w:b/>
                <w:bCs/>
              </w:rPr>
              <w:t xml:space="preserve">       4.7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69EAFDCA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81392DB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PRSI Records/Paid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1F5E2A8" w14:textId="4A57ED68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1050DB0" w14:textId="2105D11D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4</w:t>
            </w:r>
            <w:r w:rsidR="00CA38E8">
              <w:rPr>
                <w:sz w:val="20"/>
                <w:szCs w:val="20"/>
              </w:rPr>
              <w:t>2.1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A2C9F8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7171B1A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PPS Number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C77A3CA" w14:textId="03A8CDA4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4D3533A" w14:textId="390EB66E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A38E8">
              <w:rPr>
                <w:sz w:val="20"/>
                <w:szCs w:val="20"/>
              </w:rPr>
              <w:t>7.2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C182F8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CF1C8FF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Credited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2B8EA9A" w14:textId="18D47661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B0CFB79" w14:textId="09CB25BC" w:rsidR="007F45EF" w:rsidRPr="00586C6E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F3E3DA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6E3BDC8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Homemakers Scheme/HomeCaring Periods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9F491FA" w14:textId="5AF48E69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690E216" w14:textId="119D5CD6" w:rsidR="007F45EF" w:rsidRPr="00586C6E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ABCB8E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1D043CD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Voluntary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DC5ED49" w14:textId="0C9CDF02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D2CCCE0" w14:textId="754B372E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CA38E8">
              <w:rPr>
                <w:sz w:val="20"/>
                <w:szCs w:val="20"/>
              </w:rPr>
              <w:t>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A31F96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50DE50E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PRSI Classes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1194F4F" w14:textId="7A0361A0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304620A" w14:textId="1D3A7441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38E8">
              <w:rPr>
                <w:sz w:val="20"/>
                <w:szCs w:val="20"/>
              </w:rPr>
              <w:t>.2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5B5439A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A395069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3CEB93E" w14:textId="133871C4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CA544FC" w14:textId="3035B9DB" w:rsidR="007F45EF" w:rsidRPr="00586C6E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D9EE58E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933DDA2" w14:textId="77777777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Long-Term Carer Contributions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5CA6B43" w14:textId="006503F8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181DA42" w14:textId="0449430F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</w:t>
            </w:r>
            <w:r w:rsidR="00CA38E8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01FEDC7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3D92851" w14:textId="6876190F" w:rsidR="007F45EF" w:rsidRPr="000250AF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250AF">
              <w:rPr>
                <w:sz w:val="20"/>
                <w:szCs w:val="20"/>
              </w:rPr>
              <w:t>Employer</w:t>
            </w:r>
            <w:r w:rsidR="00CA38E8">
              <w:rPr>
                <w:sz w:val="20"/>
                <w:szCs w:val="20"/>
              </w:rPr>
              <w:t>’s</w:t>
            </w:r>
            <w:r w:rsidRPr="000250AF">
              <w:rPr>
                <w:sz w:val="20"/>
                <w:szCs w:val="20"/>
              </w:rPr>
              <w:t xml:space="preserve"> PRSI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CEC79F3" w14:textId="0DBC28D5" w:rsidR="007F45EF" w:rsidRPr="000250AF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70F46E6" w14:textId="23F2330B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A38E8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4E294F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3F1A777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8B22E3C" w14:textId="6EF01EDC" w:rsidR="007F45EF" w:rsidRPr="00586C6E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6A4A1DF" w14:textId="77777777" w:rsidR="007F45EF" w:rsidRPr="00586C6E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CA38E8" w:rsidRPr="00586C6E" w14:paraId="4871D503" w14:textId="77777777" w:rsidTr="00CA38E8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06500F91" w14:textId="6DD91D60" w:rsidR="00CA38E8" w:rsidRPr="00586C6E" w:rsidRDefault="00CA38E8" w:rsidP="00CA38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24D6">
              <w:rPr>
                <w:b/>
                <w:bCs/>
              </w:rPr>
              <w:t>Benefits Check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1.9%</w:t>
            </w:r>
          </w:p>
        </w:tc>
      </w:tr>
      <w:tr w:rsidR="00CA38E8" w:rsidRPr="00586C6E" w14:paraId="4257411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57B86C3" w14:textId="24676797" w:rsidR="00CA38E8" w:rsidRPr="00586C6E" w:rsidRDefault="00CA38E8" w:rsidP="00CA38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Benefits Check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EEDB345" w14:textId="2BD9FB5C" w:rsidR="00CA38E8" w:rsidRPr="00CA38E8" w:rsidRDefault="00CA38E8" w:rsidP="00CA38E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A38E8">
              <w:rPr>
                <w:sz w:val="20"/>
                <w:szCs w:val="20"/>
              </w:rPr>
              <w:t>1,470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0031C08" w14:textId="77777777" w:rsidR="00CA38E8" w:rsidRPr="00586C6E" w:rsidRDefault="00CA38E8" w:rsidP="00CA38E8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A38E8" w:rsidRPr="00586C6E" w14:paraId="2E1040D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7147DFF" w14:textId="7D22F4B5" w:rsidR="00CA38E8" w:rsidRPr="00586C6E" w:rsidRDefault="00CA38E8" w:rsidP="00CA38E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832732E" w14:textId="04770FDB" w:rsidR="00CA38E8" w:rsidRDefault="00CA38E8" w:rsidP="00CA38E8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27999DC" w14:textId="08253D7B" w:rsidR="00CA38E8" w:rsidRPr="00586C6E" w:rsidRDefault="00CA38E8" w:rsidP="00CA38E8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7A41B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F45EF" w:rsidRPr="00586C6E" w14:paraId="31E0EE88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4379C755" w14:textId="35F5D3DF" w:rsidR="007F45EF" w:rsidRPr="00586C6E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7A41B1">
              <w:rPr>
                <w:b/>
                <w:bCs/>
              </w:rPr>
              <w:t>Appeals</w:t>
            </w:r>
            <w:r w:rsidRPr="00586C6E">
              <w:rPr>
                <w:b/>
                <w:bCs/>
                <w:color w:val="FFFFFF" w:themeColor="background1"/>
              </w:rPr>
              <w:t xml:space="preserve">   </w:t>
            </w:r>
            <w:r w:rsidRPr="00586C6E"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                                                                                                   </w:t>
            </w:r>
            <w:r w:rsidR="00CA38E8">
              <w:rPr>
                <w:b/>
                <w:bCs/>
              </w:rPr>
              <w:t xml:space="preserve">          </w:t>
            </w:r>
            <w:r w:rsidRPr="00586C6E">
              <w:rPr>
                <w:b/>
                <w:bCs/>
              </w:rPr>
              <w:t xml:space="preserve"> </w:t>
            </w:r>
            <w:r w:rsidR="008A66BB"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 xml:space="preserve">  1.6%</w:t>
            </w:r>
          </w:p>
        </w:tc>
      </w:tr>
      <w:tr w:rsidR="007F45EF" w:rsidRPr="00586C6E" w14:paraId="142D7A0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D2BAB67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Disability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5B59A6" w14:textId="37BA5BE2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8AF6DE" w14:textId="335E849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</w:t>
            </w:r>
            <w:r w:rsidR="00CA38E8">
              <w:rPr>
                <w:sz w:val="20"/>
                <w:szCs w:val="20"/>
              </w:rPr>
              <w:t>1.6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1F1789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FAEBD5A" w14:textId="4B875F77" w:rsidR="007F45EF" w:rsidRPr="007A41B1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Carer's Allowance/Benefit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A2EDA0" w14:textId="7F61B813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82FB5A" w14:textId="1CDEFF0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 w:rsidR="00CA38E8">
              <w:rPr>
                <w:sz w:val="20"/>
                <w:szCs w:val="20"/>
              </w:rPr>
              <w:t>6.8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62AE7B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7AB60D0" w14:textId="23662868" w:rsidR="007F45EF" w:rsidRPr="007A41B1" w:rsidRDefault="00CA38E8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Invalidity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ADFB5C" w14:textId="060485AF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90AC33" w14:textId="0BCA972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</w:t>
            </w:r>
            <w:r w:rsidR="00CA38E8">
              <w:rPr>
                <w:sz w:val="20"/>
                <w:szCs w:val="20"/>
              </w:rPr>
              <w:t>9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C750C9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707FA05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0F87E8" w14:textId="07F6D055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6DD8CF2" w14:textId="0918E23F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CA4116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16FB254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Jobseeker's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518F4F7" w14:textId="64D8416B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97A8745" w14:textId="7232E9E4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5F6213E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D3BBE59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Domiciliary Care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022114" w14:textId="5B3113B2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BBDC10" w14:textId="00CFCA84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0E932B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E65E951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lastRenderedPageBreak/>
              <w:t>Supplementary Welfare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B49F32" w14:textId="75D399EF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4C01AD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E551A4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D4CAE9D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State Pension (Non-Contributory)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D3A616" w14:textId="1A8BFC58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F9766F2" w14:textId="00295A38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</w:t>
            </w:r>
            <w:r w:rsidR="00CA38E8">
              <w:rPr>
                <w:sz w:val="20"/>
                <w:szCs w:val="20"/>
              </w:rPr>
              <w:t>8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0B3A94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1DE9AEA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One Parent Family Payment (OFP)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3EA03E3" w14:textId="7B047DCE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3A3DF20" w14:textId="009F74B2" w:rsidR="007F45EF" w:rsidRPr="00586C6E" w:rsidRDefault="00CA38E8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8CB361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7724D7C" w14:textId="46EFAD6D" w:rsidR="007F45EF" w:rsidRPr="007A41B1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Child Benefit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7133A1B" w14:textId="16D768F5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47A8FBA8" w14:textId="649FBD59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82A88D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6E71D4B" w14:textId="73DCF82D" w:rsidR="007F45EF" w:rsidRPr="007A41B1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State Pension (Contributory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4B5BB9A3" w14:textId="3C1FFCE6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8ED7191" w14:textId="59108B21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FE97F24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2D1612C" w14:textId="2173F852" w:rsidR="007F45EF" w:rsidRPr="007A41B1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Jobseeker's Benefit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589BB7C" w14:textId="67C8F151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FEA7078" w14:textId="4ECFBFD9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3433C5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BBF4FDC" w14:textId="1D8E09AF" w:rsidR="007F45EF" w:rsidRPr="007A41B1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Working Family Payment (WFP)</w:t>
            </w:r>
            <w:r w:rsidR="007F45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5678536" w14:textId="0ACE6305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F6E3DBB" w14:textId="26FBA7B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1E5406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56E0CB4" w14:textId="6D163C2A" w:rsidR="007F45EF" w:rsidRPr="007A41B1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Illness Benefit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9EA12FB" w14:textId="10D22577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3E70CDC" w14:textId="1032790E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6299AC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2E52350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Carer's Support Grant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1B8870C2" w14:textId="22817D68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C5A7AE5" w14:textId="43F1609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8A66BB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5EF97B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5239A3C" w14:textId="36A96532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Widow/Widower/</w:t>
            </w:r>
            <w:r w:rsidR="00BB26BF">
              <w:rPr>
                <w:sz w:val="20"/>
                <w:szCs w:val="20"/>
              </w:rPr>
              <w:t>S</w:t>
            </w:r>
            <w:r w:rsidRPr="007A41B1">
              <w:rPr>
                <w:sz w:val="20"/>
                <w:szCs w:val="20"/>
              </w:rPr>
              <w:t>urviving Civil Partner 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1E0D6BF" w14:textId="2EE1D76F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99B4D41" w14:textId="47890B9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8A66BB">
              <w:rPr>
                <w:sz w:val="20"/>
                <w:szCs w:val="20"/>
              </w:rPr>
              <w:t>2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779843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39C5745" w14:textId="77777777" w:rsidR="007F45EF" w:rsidRPr="007A41B1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FCCBB59" w14:textId="7A115FFC" w:rsidR="007F45EF" w:rsidRPr="007A41B1" w:rsidRDefault="00CA38E8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C3C1189" w14:textId="77777777" w:rsidR="007F45EF" w:rsidRPr="007A41B1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7A41B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F45EF" w:rsidRPr="00586C6E" w14:paraId="14B7328F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BD13A52" w14:textId="586B9330" w:rsidR="007F45EF" w:rsidRPr="00AA1BD7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AA1BD7">
              <w:rPr>
                <w:b/>
                <w:bCs/>
              </w:rPr>
              <w:t>Death Related Benefits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="008A66B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1.</w:t>
            </w:r>
            <w:r w:rsidR="008A66BB">
              <w:rPr>
                <w:b/>
                <w:bCs/>
              </w:rPr>
              <w:t>4</w:t>
            </w:r>
            <w:r>
              <w:rPr>
                <w:b/>
                <w:bCs/>
              </w:rPr>
              <w:t>%</w:t>
            </w:r>
          </w:p>
        </w:tc>
      </w:tr>
      <w:tr w:rsidR="007F45EF" w:rsidRPr="00586C6E" w14:paraId="4D58600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531B5876" w14:textId="77777777" w:rsidR="007F45EF" w:rsidRPr="00A024D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Widow/Widower/Surviving Civil Partner's Pension (Contributory)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5B1D8FC4" w14:textId="5D0797D8" w:rsidR="007F45EF" w:rsidRPr="00A024D6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1821376F" w14:textId="0B5AB197" w:rsidR="007F45EF" w:rsidRPr="00A024D6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5</w:t>
            </w:r>
            <w:r w:rsidR="008A66BB">
              <w:rPr>
                <w:sz w:val="20"/>
                <w:szCs w:val="20"/>
              </w:rPr>
              <w:t>7.6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7F45EF" w:rsidRPr="00586C6E" w14:paraId="479B890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52681FE4" w14:textId="77777777" w:rsidR="007F45EF" w:rsidRPr="00A024D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Help with Funeral Costs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7F9C4EA2" w14:textId="718F6AD9" w:rsidR="007F45EF" w:rsidRPr="00A024D6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2A8190C4" w14:textId="073C83C7" w:rsidR="007F45EF" w:rsidRPr="00A024D6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1</w:t>
            </w:r>
            <w:r w:rsidR="008A66BB">
              <w:rPr>
                <w:sz w:val="20"/>
                <w:szCs w:val="20"/>
              </w:rPr>
              <w:t>8.3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7F45EF" w:rsidRPr="00586C6E" w14:paraId="59529DA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34E53CAB" w14:textId="001B2E86" w:rsidR="007F45EF" w:rsidRPr="00A024D6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Widow/Widower/Surviving Civil Partner Grant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59554582" w14:textId="50025735" w:rsidR="007F45EF" w:rsidRPr="00A024D6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375880D1" w14:textId="5C1ABAB8" w:rsidR="007F45EF" w:rsidRPr="00A024D6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A66BB">
              <w:rPr>
                <w:sz w:val="20"/>
                <w:szCs w:val="20"/>
              </w:rPr>
              <w:t>.9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7F45EF" w:rsidRPr="00586C6E" w14:paraId="2C503C5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5177E830" w14:textId="7EBBA7A4" w:rsidR="007F45EF" w:rsidRPr="00A024D6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Widow/Widower/Surviving Civil Partner's Pension (Non-Contributory)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00135A53" w14:textId="354A6101" w:rsidR="007F45EF" w:rsidRPr="00A024D6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017CD050" w14:textId="78DFD2F4" w:rsidR="007F45EF" w:rsidRPr="00A024D6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A66BB">
              <w:rPr>
                <w:sz w:val="20"/>
                <w:szCs w:val="20"/>
              </w:rPr>
              <w:t>2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7F45EF" w:rsidRPr="00586C6E" w14:paraId="604E9DE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1D27D4B4" w14:textId="77777777" w:rsidR="007F45EF" w:rsidRPr="00A024D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024D6">
              <w:rPr>
                <w:sz w:val="20"/>
                <w:szCs w:val="20"/>
              </w:rPr>
              <w:t>Guardian's Payment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1C17C64C" w14:textId="78C40B55" w:rsidR="007F45EF" w:rsidRPr="00A024D6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</w:tcPr>
          <w:p w14:paraId="571F2155" w14:textId="07864EC3" w:rsidR="007F45EF" w:rsidRPr="00A024D6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8A66BB">
              <w:rPr>
                <w:sz w:val="20"/>
                <w:szCs w:val="20"/>
              </w:rPr>
              <w:t>7</w:t>
            </w:r>
            <w:r w:rsidRPr="00A024D6">
              <w:rPr>
                <w:sz w:val="20"/>
                <w:szCs w:val="20"/>
              </w:rPr>
              <w:t>%</w:t>
            </w:r>
          </w:p>
        </w:tc>
      </w:tr>
      <w:tr w:rsidR="007F45EF" w:rsidRPr="00586C6E" w14:paraId="765C5A1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430CB9ED" w14:textId="77777777" w:rsidR="007F45EF" w:rsidRPr="00A024D6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5A45A179" w14:textId="22E0580D" w:rsidR="007F45EF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</w:tcPr>
          <w:p w14:paraId="3C5079C5" w14:textId="492A650D" w:rsidR="007F45EF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</w:tr>
      <w:tr w:rsidR="007F45EF" w:rsidRPr="00586C6E" w14:paraId="3CF7D36E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FF961A0" w14:textId="77777777" w:rsidR="007F45EF" w:rsidRPr="007A41B1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D230A5F" w14:textId="2ADDECB9" w:rsidR="007F45EF" w:rsidRPr="007A41B1" w:rsidRDefault="008A66BB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451B0C9" w14:textId="77777777" w:rsidR="007F45EF" w:rsidRPr="007A41B1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A41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7A41B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F45EF" w:rsidRPr="00586C6E" w14:paraId="4057A6CC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0879B66A" w14:textId="4921B0C4" w:rsidR="007F45EF" w:rsidRPr="00586C6E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AA1BD7">
              <w:rPr>
                <w:b/>
                <w:bCs/>
              </w:rPr>
              <w:t xml:space="preserve">Activation Schemes, Education and Training                                                                                    </w:t>
            </w:r>
            <w:r>
              <w:rPr>
                <w:b/>
                <w:bCs/>
              </w:rPr>
              <w:t xml:space="preserve">     </w:t>
            </w:r>
            <w:r w:rsidRPr="00AA1BD7">
              <w:rPr>
                <w:b/>
                <w:bCs/>
              </w:rPr>
              <w:t xml:space="preserve">  </w:t>
            </w:r>
            <w:r w:rsidR="008A66BB">
              <w:rPr>
                <w:b/>
                <w:bCs/>
              </w:rPr>
              <w:t xml:space="preserve"> </w:t>
            </w:r>
            <w:r w:rsidRPr="00586C6E">
              <w:rPr>
                <w:b/>
                <w:bCs/>
              </w:rPr>
              <w:t>1.</w:t>
            </w:r>
            <w:r w:rsidR="008A66BB">
              <w:rPr>
                <w:b/>
                <w:bCs/>
              </w:rPr>
              <w:t>2</w:t>
            </w:r>
            <w:r w:rsidRPr="00586C6E">
              <w:rPr>
                <w:b/>
                <w:bCs/>
              </w:rPr>
              <w:t>%</w:t>
            </w:r>
          </w:p>
        </w:tc>
      </w:tr>
      <w:tr w:rsidR="007F45EF" w:rsidRPr="00586C6E" w14:paraId="0047727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DA6B2FA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Back to Education Allowance (BTEA)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F2D1CF9" w14:textId="496C603C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0BD7BEA" w14:textId="6DD0F5B5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70964B5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FFDEF88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Back to Work Enterprise Allowance (BTWEA)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BDB0643" w14:textId="3B438A10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7C8C2236" w14:textId="7399D2CE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6BB">
              <w:rPr>
                <w:sz w:val="20"/>
                <w:szCs w:val="20"/>
              </w:rPr>
              <w:t>2.1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7227F9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E694D98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Community Employment (CE)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8D291E5" w14:textId="028F65F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6B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133B137" w14:textId="3C63ED16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8A66BB">
              <w:rPr>
                <w:sz w:val="20"/>
                <w:szCs w:val="20"/>
              </w:rPr>
              <w:t>7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4B8572F3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184CFCB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Tús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F246AB8" w14:textId="0F4479F8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31F1C17" w14:textId="7E3663B0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AECA9A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997B0E3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JobPath - Seetec/Turas Nua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B69E1C9" w14:textId="142C7F9D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807B663" w14:textId="4A7E31EA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</w:t>
            </w:r>
            <w:r w:rsidR="008A66BB"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860B606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436A7D7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Part-time Education Option (PTEO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1FD1DA52" w14:textId="6549A68B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0B12EE4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2A56385F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133CBCF" w14:textId="59FA44B2" w:rsidR="007F45EF" w:rsidRPr="00586C6E" w:rsidRDefault="008A66BB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Part-Time Job Incentive Scheme (PTJI)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B1EB6EA" w14:textId="1C6C79CD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45C0C72" w14:textId="1CE852F5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A66BB">
              <w:rPr>
                <w:sz w:val="20"/>
                <w:szCs w:val="20"/>
              </w:rPr>
              <w:t>5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035AE4C8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8BD6EE0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Short-Term Enterprise Allowance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6536377" w14:textId="0AF3E104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81B88C5" w14:textId="7107BD0C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A66BB"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AF5BB40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1077FC2" w14:textId="712A56AC" w:rsidR="007F45EF" w:rsidRPr="00586C6E" w:rsidRDefault="008A66BB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Rural Social Scheme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7BD0AAC" w14:textId="42C12DED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A4F301E" w14:textId="63CA604E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3859813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01D639C" w14:textId="1B68B1E4" w:rsidR="007F45EF" w:rsidRPr="00586C6E" w:rsidRDefault="008A66BB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 xml:space="preserve">JobsPlus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2833E1A" w14:textId="56281D43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45E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FF22A9B" w14:textId="3ECB07E2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1.</w:t>
            </w:r>
            <w:r w:rsidR="008A66BB">
              <w:rPr>
                <w:sz w:val="20"/>
                <w:szCs w:val="20"/>
              </w:rPr>
              <w:t>3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64894B4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CBF9743" w14:textId="1A7D362C" w:rsidR="007F45EF" w:rsidRPr="008A66BB" w:rsidRDefault="008A66BB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8A66BB">
              <w:rPr>
                <w:sz w:val="20"/>
                <w:szCs w:val="20"/>
              </w:rPr>
              <w:t>LAES (Local Area Employment Services)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3D1AD595" w14:textId="0008F92B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98092B7" w14:textId="578DB6C9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7F45EF"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1AE798ED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021A9421" w14:textId="77777777" w:rsidR="007F45EF" w:rsidRPr="00586C6E" w:rsidRDefault="007F45EF" w:rsidP="006A109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A41B1">
              <w:rPr>
                <w:sz w:val="20"/>
                <w:szCs w:val="20"/>
              </w:rPr>
              <w:t>Work Placement Experience Programme (WPEP)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0B17095" w14:textId="116A613B" w:rsidR="007F45EF" w:rsidRPr="00586C6E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238DF9E" w14:textId="3ACFE53D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6C6E">
              <w:rPr>
                <w:sz w:val="20"/>
                <w:szCs w:val="20"/>
              </w:rPr>
              <w:t>0.</w:t>
            </w:r>
            <w:r w:rsidR="008A66BB">
              <w:rPr>
                <w:sz w:val="20"/>
                <w:szCs w:val="20"/>
              </w:rPr>
              <w:t>4</w:t>
            </w:r>
            <w:r w:rsidRPr="00586C6E">
              <w:rPr>
                <w:sz w:val="20"/>
                <w:szCs w:val="20"/>
              </w:rPr>
              <w:t>%</w:t>
            </w:r>
          </w:p>
        </w:tc>
      </w:tr>
      <w:tr w:rsidR="007F45EF" w:rsidRPr="00586C6E" w14:paraId="713F99D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1E27E7C" w14:textId="77777777" w:rsidR="007F45EF" w:rsidRPr="007A41B1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91B3257" w14:textId="3A90FE98" w:rsidR="007F45EF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366FE89" w14:textId="77777777" w:rsidR="007F45EF" w:rsidRPr="00586C6E" w:rsidRDefault="007F45EF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</w:tr>
      <w:tr w:rsidR="007F45EF" w:rsidRPr="00586C6E" w14:paraId="792202F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9813A0B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6D9CB8CC" w14:textId="6530A4C3" w:rsidR="007F45EF" w:rsidRPr="00A13167" w:rsidRDefault="008A66BB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06A4D3E" w14:textId="77777777" w:rsidR="007F45EF" w:rsidRPr="00A13167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13167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39DCAA88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28D977FB" w14:textId="17F3A198" w:rsidR="007F45EF" w:rsidRPr="00A13167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A13167">
              <w:rPr>
                <w:b/>
                <w:bCs/>
              </w:rPr>
              <w:t>Payments and Work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</w:t>
            </w:r>
            <w:r w:rsidR="008A66BB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0.9%</w:t>
            </w:r>
          </w:p>
        </w:tc>
      </w:tr>
      <w:tr w:rsidR="007F45EF" w:rsidRPr="00586C6E" w14:paraId="660DEEB2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6186EEC8" w14:textId="77777777" w:rsidR="007F45EF" w:rsidRPr="00BB26BF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BB26BF">
              <w:rPr>
                <w:sz w:val="20"/>
                <w:szCs w:val="20"/>
              </w:rPr>
              <w:t>Payments and Work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0836486" w14:textId="5D0C8D65" w:rsidR="007F45EF" w:rsidRPr="00D21B2F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BB41171" w14:textId="77777777" w:rsidR="007F45EF" w:rsidRPr="00A13167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45EF" w:rsidRPr="00586C6E" w14:paraId="21D8066B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3F8B09EA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4083B63" w14:textId="72B9359D" w:rsidR="007F45EF" w:rsidRPr="00A13167" w:rsidRDefault="008A66BB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ADB1596" w14:textId="77777777" w:rsidR="007F45EF" w:rsidRPr="00A13167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13167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42A53CAF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777AF210" w14:textId="5E4EB2E1" w:rsidR="007F45EF" w:rsidRPr="00A13167" w:rsidRDefault="007F45EF" w:rsidP="006A1094">
            <w:pPr>
              <w:spacing w:after="0" w:line="240" w:lineRule="auto"/>
              <w:rPr>
                <w:b/>
                <w:bCs/>
              </w:rPr>
            </w:pPr>
            <w:r w:rsidRPr="00A13167">
              <w:rPr>
                <w:b/>
                <w:bCs/>
              </w:rPr>
              <w:t>Farmers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 w:rsidR="008A66BB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0.2%</w:t>
            </w:r>
          </w:p>
        </w:tc>
      </w:tr>
      <w:tr w:rsidR="007F45EF" w:rsidRPr="00586C6E" w14:paraId="442F80F7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815DC91" w14:textId="4B7FA3A1" w:rsidR="007F45EF" w:rsidRPr="00E4363C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E4363C">
              <w:rPr>
                <w:sz w:val="20"/>
                <w:szCs w:val="20"/>
              </w:rPr>
              <w:t>Far</w:t>
            </w:r>
            <w:r w:rsidR="00BB26BF">
              <w:rPr>
                <w:sz w:val="20"/>
                <w:szCs w:val="20"/>
              </w:rPr>
              <w:t>m</w:t>
            </w:r>
            <w:r w:rsidRPr="00E4363C">
              <w:rPr>
                <w:sz w:val="20"/>
                <w:szCs w:val="20"/>
              </w:rPr>
              <w:t xml:space="preserve"> Assist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9BB7C18" w14:textId="0BA5A289" w:rsidR="007F45EF" w:rsidRPr="00E4363C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8948142" w14:textId="30D79017" w:rsidR="007F45EF" w:rsidRPr="00E4363C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85.9</w:t>
            </w:r>
            <w:r w:rsidR="007F45EF" w:rsidRPr="00E4363C">
              <w:rPr>
                <w:sz w:val="20"/>
                <w:szCs w:val="20"/>
              </w:rPr>
              <w:t>%</w:t>
            </w:r>
          </w:p>
        </w:tc>
      </w:tr>
      <w:tr w:rsidR="007F45EF" w:rsidRPr="00586C6E" w14:paraId="5E598C19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6D736236" w14:textId="77777777" w:rsidR="007F45EF" w:rsidRPr="00E4363C" w:rsidRDefault="007F45EF" w:rsidP="006A1094">
            <w:pPr>
              <w:spacing w:after="0" w:line="240" w:lineRule="auto"/>
              <w:rPr>
                <w:sz w:val="20"/>
                <w:szCs w:val="20"/>
              </w:rPr>
            </w:pPr>
            <w:r w:rsidRPr="00E4363C">
              <w:rPr>
                <w:sz w:val="20"/>
                <w:szCs w:val="20"/>
              </w:rPr>
              <w:t>Other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7E8BB3B0" w14:textId="551F0212" w:rsidR="007F45EF" w:rsidRPr="00E4363C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507973BA" w14:textId="1597B071" w:rsidR="007F45EF" w:rsidRPr="00E4363C" w:rsidRDefault="008A66BB" w:rsidP="006A109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="007F45EF" w:rsidRPr="00E4363C">
              <w:rPr>
                <w:sz w:val="20"/>
                <w:szCs w:val="20"/>
              </w:rPr>
              <w:t>%</w:t>
            </w:r>
          </w:p>
        </w:tc>
      </w:tr>
      <w:tr w:rsidR="007F45EF" w:rsidRPr="00586C6E" w14:paraId="4DB3A0FC" w14:textId="77777777" w:rsidTr="00FA7285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C6079A5" w14:textId="77777777" w:rsidR="007F45EF" w:rsidRPr="00586C6E" w:rsidRDefault="007F45EF" w:rsidP="006A10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86C6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C276B43" w14:textId="4E1C4196" w:rsidR="007F45EF" w:rsidRDefault="008A66BB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F4AA548" w14:textId="77777777" w:rsidR="007F45EF" w:rsidRPr="00A13167" w:rsidRDefault="007F45EF" w:rsidP="006A109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13167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7F45EF" w:rsidRPr="00586C6E" w14:paraId="7E17FA97" w14:textId="77777777" w:rsidTr="006A1094">
        <w:trPr>
          <w:trHeight w:val="28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7F33B79D" w14:textId="72397599" w:rsidR="007F45EF" w:rsidRPr="00A13167" w:rsidRDefault="007F45EF" w:rsidP="00F1756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4363C">
              <w:rPr>
                <w:b/>
                <w:bCs/>
              </w:rPr>
              <w:t>Total Social Welfare Queries</w:t>
            </w:r>
            <w:r>
              <w:rPr>
                <w:b/>
                <w:bCs/>
              </w:rPr>
              <w:t xml:space="preserve">                      </w:t>
            </w:r>
            <w:r w:rsidR="00F1756F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         </w:t>
            </w:r>
            <w:r w:rsidRPr="00E4363C">
              <w:rPr>
                <w:b/>
                <w:bCs/>
              </w:rPr>
              <w:t xml:space="preserve">                                                            </w:t>
            </w:r>
            <w:r w:rsidR="00F1756F">
              <w:rPr>
                <w:b/>
                <w:bCs/>
              </w:rPr>
              <w:t>78,229</w:t>
            </w:r>
          </w:p>
        </w:tc>
      </w:tr>
    </w:tbl>
    <w:p w14:paraId="58E6809F" w14:textId="494A14E6" w:rsidR="00F4746A" w:rsidRDefault="007F45EF" w:rsidP="00586C6E">
      <w:pPr>
        <w:pStyle w:val="Heading2"/>
      </w:pPr>
      <w:r>
        <w:t>Ho</w:t>
      </w:r>
      <w:r w:rsidR="009464C4" w:rsidRPr="00A13A8C">
        <w:t>using Query Trends in Q</w:t>
      </w:r>
      <w:r w:rsidR="00A30F3B">
        <w:t>4</w:t>
      </w:r>
      <w:r w:rsidR="009464C4" w:rsidRPr="00A13A8C">
        <w:t xml:space="preserve"> 2024</w:t>
      </w:r>
    </w:p>
    <w:p w14:paraId="009F9067" w14:textId="2EF3C679" w:rsidR="00571359" w:rsidRDefault="00571359" w:rsidP="00571359">
      <w:pPr>
        <w:jc w:val="both"/>
      </w:pPr>
      <w:r w:rsidRPr="00A30F3B">
        <w:rPr>
          <w:b/>
        </w:rPr>
        <w:t>Table 11</w:t>
      </w:r>
      <w:r w:rsidRPr="00A30F3B">
        <w:t xml:space="preserve"> sets out the </w:t>
      </w:r>
      <w:r w:rsidRPr="00A30F3B">
        <w:rPr>
          <w:b/>
        </w:rPr>
        <w:t>Housing</w:t>
      </w:r>
      <w:r w:rsidRPr="00A30F3B">
        <w:t xml:space="preserve"> query dataset for Quarter </w:t>
      </w:r>
      <w:r w:rsidR="00A30F3B" w:rsidRPr="00A30F3B">
        <w:t>4</w:t>
      </w:r>
      <w:r w:rsidRPr="00A30F3B">
        <w:t>, 2024. Housing is the second highest category, representing 1</w:t>
      </w:r>
      <w:r w:rsidR="00A30F3B" w:rsidRPr="00A30F3B">
        <w:t>0.7</w:t>
      </w:r>
      <w:r w:rsidRPr="00A30F3B">
        <w:t xml:space="preserve">% of all queries. </w:t>
      </w:r>
    </w:p>
    <w:p w14:paraId="2F7142F6" w14:textId="045123A3" w:rsidR="00F1756F" w:rsidRDefault="00F1756F" w:rsidP="00571359">
      <w:pPr>
        <w:jc w:val="both"/>
      </w:pPr>
      <w:r>
        <w:t>Local Authority and Social Housing queries remained at a similar level</w:t>
      </w:r>
      <w:r w:rsidR="00E1049F">
        <w:t xml:space="preserve"> to Q4, 2023</w:t>
      </w:r>
      <w:r>
        <w:t>.</w:t>
      </w:r>
    </w:p>
    <w:p w14:paraId="5E221211" w14:textId="2997FD51" w:rsidR="00F1756F" w:rsidRPr="001E60A9" w:rsidRDefault="00F1756F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>Applying for Local Authority/Social Housing queries increased by 8.0%.</w:t>
      </w:r>
    </w:p>
    <w:p w14:paraId="6FC9AF72" w14:textId="3CB74EE2" w:rsidR="00F1756F" w:rsidRDefault="00F1756F" w:rsidP="00FA7285">
      <w:pPr>
        <w:pStyle w:val="ListParagraph"/>
      </w:pPr>
      <w:r>
        <w:t>Housing Assistance Payment queries decreased by 9.3%</w:t>
      </w:r>
      <w:r w:rsidR="00C83C65">
        <w:t>.</w:t>
      </w:r>
    </w:p>
    <w:p w14:paraId="1D5CC226" w14:textId="5190EFBE" w:rsidR="00C83C65" w:rsidRDefault="00C83C65" w:rsidP="00C83C65">
      <w:pPr>
        <w:ind w:left="360" w:hanging="360"/>
      </w:pPr>
      <w:r>
        <w:t xml:space="preserve">Housing Grants and Schemes had the addition of four sub-categories: Housing Aid for Older </w:t>
      </w:r>
      <w:r w:rsidR="005C6BAF">
        <w:t>People, Housing</w:t>
      </w:r>
      <w:r>
        <w:t xml:space="preserve"> Adaption Grant for People with a Disability, Mobility Aid Grant Scheme</w:t>
      </w:r>
      <w:r w:rsidR="00E1049F">
        <w:t xml:space="preserve"> and Other</w:t>
      </w:r>
      <w:r>
        <w:t>.</w:t>
      </w:r>
      <w:r w:rsidR="005C6BAF">
        <w:t xml:space="preserve"> This category decreased by 3.4%.</w:t>
      </w:r>
    </w:p>
    <w:p w14:paraId="6359AE9E" w14:textId="7E3F43F7" w:rsidR="00C83C65" w:rsidRDefault="00C83C65" w:rsidP="00C83C65">
      <w:pPr>
        <w:ind w:left="360" w:hanging="360"/>
      </w:pPr>
      <w:r>
        <w:t>Renting a Home (Private Rental Accommodation) queries decreased by 12.7%.</w:t>
      </w:r>
    </w:p>
    <w:p w14:paraId="3AE4A981" w14:textId="440B9F57" w:rsidR="00C83C65" w:rsidRDefault="00C83C65" w:rsidP="00FA7285">
      <w:pPr>
        <w:pStyle w:val="ListParagraph"/>
      </w:pPr>
      <w:r>
        <w:t>Notice/Eviction/Disputes decreased by 22.3%.</w:t>
      </w:r>
    </w:p>
    <w:p w14:paraId="6F3B63C1" w14:textId="5FF83897" w:rsidR="00C83C65" w:rsidRDefault="00C83C65" w:rsidP="00FA7285">
      <w:pPr>
        <w:pStyle w:val="ListParagraph"/>
      </w:pPr>
      <w:r>
        <w:t>RTB (Residential Tenancies Board) queries decreased by 4.3%.</w:t>
      </w:r>
    </w:p>
    <w:p w14:paraId="22341C5E" w14:textId="5460739D" w:rsidR="00C83C65" w:rsidRDefault="00C83C65" w:rsidP="00FA7285">
      <w:pPr>
        <w:pStyle w:val="ListParagraph"/>
      </w:pPr>
      <w:proofErr w:type="spellStart"/>
      <w:r>
        <w:t>Tenants</w:t>
      </w:r>
      <w:proofErr w:type="spellEnd"/>
      <w:r>
        <w:t xml:space="preserve"> Rights and Obligation queries decreased by 20.2%.</w:t>
      </w:r>
    </w:p>
    <w:p w14:paraId="2231EC6D" w14:textId="1E84D46C" w:rsidR="00C83C65" w:rsidRPr="001E60A9" w:rsidRDefault="00C83C65" w:rsidP="00C83C65">
      <w:pPr>
        <w:rPr>
          <w:b/>
          <w:bCs/>
        </w:rPr>
      </w:pPr>
      <w:r w:rsidRPr="001E60A9">
        <w:rPr>
          <w:b/>
          <w:bCs/>
        </w:rPr>
        <w:t>Home Energy Grants (SEAI) queries increased by 30%.</w:t>
      </w:r>
    </w:p>
    <w:p w14:paraId="703ABFF5" w14:textId="0B55E36D" w:rsidR="00C83C65" w:rsidRPr="001E60A9" w:rsidRDefault="00C83C65" w:rsidP="00C83C65">
      <w:pPr>
        <w:rPr>
          <w:b/>
          <w:bCs/>
        </w:rPr>
      </w:pPr>
      <w:r w:rsidRPr="001E60A9">
        <w:rPr>
          <w:b/>
          <w:bCs/>
        </w:rPr>
        <w:t>Homelessness</w:t>
      </w:r>
      <w:r>
        <w:t xml:space="preserve"> </w:t>
      </w:r>
      <w:r w:rsidRPr="001E60A9">
        <w:rPr>
          <w:b/>
          <w:bCs/>
        </w:rPr>
        <w:t>queries increased by 20.5%.</w:t>
      </w:r>
    </w:p>
    <w:p w14:paraId="72C9AA1C" w14:textId="291254A3" w:rsidR="00C83C65" w:rsidRPr="001E60A9" w:rsidRDefault="00C83C65" w:rsidP="00C83C65">
      <w:pPr>
        <w:rPr>
          <w:b/>
          <w:bCs/>
        </w:rPr>
      </w:pPr>
      <w:r w:rsidRPr="001E60A9">
        <w:rPr>
          <w:b/>
          <w:bCs/>
        </w:rPr>
        <w:t>Buying/ Owning a Home queries increased by 28.9%.</w:t>
      </w:r>
    </w:p>
    <w:p w14:paraId="5F24A80A" w14:textId="77777777" w:rsidR="00E169EE" w:rsidRPr="00F92898" w:rsidRDefault="00E169EE" w:rsidP="00CE1B59">
      <w:pPr>
        <w:rPr>
          <w:rFonts w:eastAsiaTheme="majorEastAsia"/>
          <w:b/>
          <w:color w:val="1481AB" w:themeColor="accent1" w:themeShade="BF"/>
          <w:highlight w:val="yellow"/>
        </w:rPr>
      </w:pPr>
    </w:p>
    <w:p w14:paraId="2DE22250" w14:textId="2CB2B709" w:rsidR="004C5C06" w:rsidRPr="00C83C65" w:rsidRDefault="00E169EE" w:rsidP="00D065B1">
      <w:pPr>
        <w:pStyle w:val="Heading2"/>
      </w:pPr>
      <w:r w:rsidRPr="00C83C65">
        <w:t>Caller profile data relating to Housing</w:t>
      </w:r>
    </w:p>
    <w:p w14:paraId="51524F75" w14:textId="30DFBD37" w:rsidR="00C527BA" w:rsidRPr="00C83C65" w:rsidRDefault="00C83C65" w:rsidP="00FA7285">
      <w:pPr>
        <w:pStyle w:val="ListParagraph"/>
        <w:numPr>
          <w:ilvl w:val="0"/>
          <w:numId w:val="23"/>
        </w:numPr>
      </w:pPr>
      <w:r>
        <w:t>39.5</w:t>
      </w:r>
      <w:r w:rsidR="00B079CE" w:rsidRPr="00C83C65">
        <w:t>% of call</w:t>
      </w:r>
      <w:r w:rsidR="00EA69F7" w:rsidRPr="00C83C65">
        <w:t>er</w:t>
      </w:r>
      <w:r w:rsidR="00B079CE" w:rsidRPr="00C83C65">
        <w:t xml:space="preserve">s </w:t>
      </w:r>
      <w:r w:rsidR="00EA69F7" w:rsidRPr="00C83C65">
        <w:t xml:space="preserve">who contacted CISs </w:t>
      </w:r>
      <w:r w:rsidR="00B079CE" w:rsidRPr="00C83C65">
        <w:t xml:space="preserve">about Housing </w:t>
      </w:r>
      <w:r w:rsidR="00D065B1" w:rsidRPr="00C83C65">
        <w:t>were aged</w:t>
      </w:r>
      <w:r w:rsidR="00B079CE" w:rsidRPr="00C83C65">
        <w:t xml:space="preserve"> </w:t>
      </w:r>
      <w:r w:rsidR="004B40BF" w:rsidRPr="00C83C65">
        <w:t>26-45, 34.</w:t>
      </w:r>
      <w:r>
        <w:t>8</w:t>
      </w:r>
      <w:r w:rsidR="004B40BF" w:rsidRPr="00C83C65">
        <w:t xml:space="preserve">% </w:t>
      </w:r>
      <w:r w:rsidR="00D065B1" w:rsidRPr="00C83C65">
        <w:t>were aged</w:t>
      </w:r>
      <w:r w:rsidR="004B40BF" w:rsidRPr="00C83C65">
        <w:t xml:space="preserve"> </w:t>
      </w:r>
      <w:r w:rsidR="00710A27" w:rsidRPr="00C83C65">
        <w:t>46</w:t>
      </w:r>
      <w:r w:rsidR="004B40BF" w:rsidRPr="00C83C65">
        <w:t>-65 and 22.</w:t>
      </w:r>
      <w:r>
        <w:t>6</w:t>
      </w:r>
      <w:r w:rsidR="004B40BF" w:rsidRPr="00C83C65">
        <w:t xml:space="preserve">% </w:t>
      </w:r>
      <w:r w:rsidR="00D065B1" w:rsidRPr="00C83C65">
        <w:t>were aged</w:t>
      </w:r>
      <w:r w:rsidR="004B40BF" w:rsidRPr="00C83C65">
        <w:t xml:space="preserve"> 66 and over.</w:t>
      </w:r>
    </w:p>
    <w:p w14:paraId="402F0EC8" w14:textId="745E9473" w:rsidR="00581FE7" w:rsidRPr="00C83C65" w:rsidRDefault="00581FE7" w:rsidP="00FA7285">
      <w:pPr>
        <w:pStyle w:val="ListParagraph"/>
        <w:numPr>
          <w:ilvl w:val="0"/>
          <w:numId w:val="23"/>
        </w:numPr>
      </w:pPr>
      <w:r w:rsidRPr="00C83C65">
        <w:t>5</w:t>
      </w:r>
      <w:r w:rsidR="00C83C65">
        <w:t>0.3</w:t>
      </w:r>
      <w:r w:rsidRPr="00C83C65">
        <w:t xml:space="preserve">% of calls about </w:t>
      </w:r>
      <w:r w:rsidR="00C83C65">
        <w:t>L</w:t>
      </w:r>
      <w:r w:rsidRPr="00C83C65">
        <w:t xml:space="preserve">ocal </w:t>
      </w:r>
      <w:r w:rsidR="00C83C65">
        <w:t>A</w:t>
      </w:r>
      <w:r w:rsidRPr="00C83C65">
        <w:t xml:space="preserve">uthority and </w:t>
      </w:r>
      <w:r w:rsidR="00C83C65">
        <w:t>S</w:t>
      </w:r>
      <w:r w:rsidRPr="00C83C65">
        <w:t xml:space="preserve">ocial </w:t>
      </w:r>
      <w:r w:rsidR="00C83C65">
        <w:t>H</w:t>
      </w:r>
      <w:r w:rsidRPr="00C83C65">
        <w:t>ousing came from</w:t>
      </w:r>
      <w:r w:rsidR="00D065B1" w:rsidRPr="00C83C65">
        <w:t xml:space="preserve"> the</w:t>
      </w:r>
      <w:r w:rsidRPr="00C83C65">
        <w:t xml:space="preserve"> </w:t>
      </w:r>
      <w:r w:rsidR="00B42E16" w:rsidRPr="00C83C65">
        <w:t>26-45</w:t>
      </w:r>
      <w:r w:rsidR="00D065B1" w:rsidRPr="00C83C65">
        <w:t xml:space="preserve"> age group</w:t>
      </w:r>
      <w:r w:rsidR="00C83C65">
        <w:t xml:space="preserve">, followed by 36.8% </w:t>
      </w:r>
      <w:r w:rsidR="00297D8F">
        <w:t>who were</w:t>
      </w:r>
      <w:r w:rsidR="00C83C65">
        <w:t xml:space="preserve"> 46-65.</w:t>
      </w:r>
    </w:p>
    <w:p w14:paraId="6C92F548" w14:textId="5C365BF1" w:rsidR="00450BBF" w:rsidRPr="00C83C65" w:rsidRDefault="00FD4BBE" w:rsidP="00FA7285">
      <w:pPr>
        <w:pStyle w:val="ListParagraph"/>
        <w:numPr>
          <w:ilvl w:val="0"/>
          <w:numId w:val="23"/>
        </w:numPr>
      </w:pPr>
      <w:r w:rsidRPr="00C83C65">
        <w:t>5</w:t>
      </w:r>
      <w:r w:rsidR="00297D8F">
        <w:t>8.6</w:t>
      </w:r>
      <w:r w:rsidRPr="00C83C65">
        <w:t xml:space="preserve">% of all calls relating to Housing Grants and </w:t>
      </w:r>
      <w:r w:rsidR="00C05ABE">
        <w:t>S</w:t>
      </w:r>
      <w:r w:rsidRPr="00C83C65">
        <w:t xml:space="preserve">chemes originated from </w:t>
      </w:r>
      <w:r w:rsidR="00D065B1" w:rsidRPr="00C83C65">
        <w:t>people aged 66 and over</w:t>
      </w:r>
      <w:r w:rsidRPr="00C83C65">
        <w:t>.</w:t>
      </w:r>
    </w:p>
    <w:p w14:paraId="68977FB1" w14:textId="251835DF" w:rsidR="00FD4BBE" w:rsidRDefault="00E5764E" w:rsidP="00FA7285">
      <w:pPr>
        <w:pStyle w:val="ListParagraph"/>
        <w:numPr>
          <w:ilvl w:val="0"/>
          <w:numId w:val="23"/>
        </w:numPr>
      </w:pPr>
      <w:r w:rsidRPr="00C83C65">
        <w:t>4</w:t>
      </w:r>
      <w:r w:rsidR="00297D8F">
        <w:t>5.4</w:t>
      </w:r>
      <w:r w:rsidRPr="00C83C65">
        <w:t>% of all calls relating to Renting a Home (Private Rental Accommodation) came from the 26-45</w:t>
      </w:r>
      <w:r w:rsidR="00D065B1" w:rsidRPr="00C83C65">
        <w:t xml:space="preserve"> age group;</w:t>
      </w:r>
      <w:r w:rsidRPr="00C83C65">
        <w:t xml:space="preserve"> 4</w:t>
      </w:r>
      <w:r w:rsidR="00297D8F">
        <w:t>1.4</w:t>
      </w:r>
      <w:r w:rsidRPr="00C83C65">
        <w:t>% came from the 46-65s.</w:t>
      </w:r>
    </w:p>
    <w:p w14:paraId="423F6B50" w14:textId="41BCF33F" w:rsidR="00297D8F" w:rsidRDefault="00297D8F" w:rsidP="00FA7285">
      <w:pPr>
        <w:pStyle w:val="ListParagraph"/>
        <w:numPr>
          <w:ilvl w:val="0"/>
          <w:numId w:val="23"/>
        </w:numPr>
      </w:pPr>
      <w:r>
        <w:t>51.9% of calls came from Females, followed by 39.1% who were Males.</w:t>
      </w:r>
    </w:p>
    <w:p w14:paraId="2C864CA8" w14:textId="46A2AF2C" w:rsidR="00297D8F" w:rsidRDefault="00297D8F" w:rsidP="00FA7285">
      <w:pPr>
        <w:pStyle w:val="ListParagraph"/>
        <w:numPr>
          <w:ilvl w:val="0"/>
          <w:numId w:val="23"/>
        </w:numPr>
      </w:pPr>
      <w:r>
        <w:t xml:space="preserve">44.0% of </w:t>
      </w:r>
      <w:r w:rsidR="00E1049F">
        <w:t>interactions w</w:t>
      </w:r>
      <w:r w:rsidR="00026E60">
        <w:t>ith</w:t>
      </w:r>
      <w:r w:rsidR="00E1049F">
        <w:t xml:space="preserve"> an information provider </w:t>
      </w:r>
      <w:r>
        <w:t>relating to Housing lasted 11-20 minutes, 27.2% lasted 10 minutes and under, followed by 23.6% of calls which lasted 21-40 minutes.</w:t>
      </w:r>
    </w:p>
    <w:p w14:paraId="3C44DD8B" w14:textId="04B8A2DC" w:rsidR="00297D8F" w:rsidRPr="00C83C65" w:rsidRDefault="00297D8F" w:rsidP="00FA7285">
      <w:pPr>
        <w:pStyle w:val="ListParagraph"/>
        <w:numPr>
          <w:ilvl w:val="0"/>
          <w:numId w:val="23"/>
        </w:numPr>
      </w:pPr>
      <w:r>
        <w:t xml:space="preserve">66.4% of </w:t>
      </w:r>
      <w:r w:rsidR="00FA7285">
        <w:t>caller’s</w:t>
      </w:r>
      <w:r>
        <w:t xml:space="preserve"> country of origin was Ireland, followed by 21.4% who were non-EU and 12.2% which were EU (excluding Ireland).</w:t>
      </w:r>
    </w:p>
    <w:p w14:paraId="0D8A87F9" w14:textId="77777777" w:rsidR="00EB4845" w:rsidRDefault="00EB4845" w:rsidP="0002338D">
      <w:pPr>
        <w:ind w:left="720"/>
      </w:pPr>
    </w:p>
    <w:p w14:paraId="7DD8AC5D" w14:textId="6C79E393" w:rsidR="00297D8F" w:rsidRDefault="00297D8F" w:rsidP="00297D8F">
      <w:pPr>
        <w:sectPr w:rsidR="00297D8F" w:rsidSect="001E60A9">
          <w:footerReference w:type="default" r:id="rId14"/>
          <w:type w:val="continuous"/>
          <w:pgSz w:w="11906" w:h="16838"/>
          <w:pgMar w:top="1276" w:right="1080" w:bottom="1440" w:left="1080" w:header="709" w:footer="709" w:gutter="0"/>
          <w:cols w:space="708"/>
          <w:docGrid w:linePitch="360"/>
        </w:sectPr>
      </w:pPr>
    </w:p>
    <w:p w14:paraId="2456FB78" w14:textId="78972F78" w:rsidR="00942712" w:rsidRDefault="00942712" w:rsidP="00290362">
      <w:pPr>
        <w:pStyle w:val="Heading3"/>
        <w:rPr>
          <w:sz w:val="28"/>
          <w:szCs w:val="28"/>
        </w:rPr>
      </w:pPr>
      <w:r w:rsidRPr="0074129E">
        <w:rPr>
          <w:sz w:val="28"/>
          <w:szCs w:val="28"/>
        </w:rPr>
        <w:lastRenderedPageBreak/>
        <w:t xml:space="preserve">Table </w:t>
      </w:r>
      <w:r w:rsidR="00EE6517" w:rsidRPr="0074129E">
        <w:rPr>
          <w:sz w:val="28"/>
          <w:szCs w:val="28"/>
        </w:rPr>
        <w:t>11</w:t>
      </w:r>
      <w:r w:rsidRPr="0074129E">
        <w:rPr>
          <w:sz w:val="28"/>
          <w:szCs w:val="28"/>
        </w:rPr>
        <w:t xml:space="preserve"> – Housing Queries Breakdown, Q</w:t>
      </w:r>
      <w:r w:rsidR="00F92898">
        <w:rPr>
          <w:sz w:val="28"/>
          <w:szCs w:val="28"/>
        </w:rPr>
        <w:t>4</w:t>
      </w:r>
      <w:r w:rsidRPr="0074129E">
        <w:rPr>
          <w:sz w:val="28"/>
          <w:szCs w:val="28"/>
        </w:rPr>
        <w:t xml:space="preserve"> 202</w:t>
      </w:r>
      <w:r w:rsidR="00BA23D2" w:rsidRPr="0074129E">
        <w:rPr>
          <w:sz w:val="28"/>
          <w:szCs w:val="28"/>
        </w:rPr>
        <w:t>4</w:t>
      </w:r>
    </w:p>
    <w:tbl>
      <w:tblPr>
        <w:tblStyle w:val="GridTable5Dark-Accent6"/>
        <w:tblW w:w="9493" w:type="dxa"/>
        <w:tblLook w:val="04A0" w:firstRow="1" w:lastRow="0" w:firstColumn="1" w:lastColumn="0" w:noHBand="0" w:noVBand="1"/>
      </w:tblPr>
      <w:tblGrid>
        <w:gridCol w:w="4106"/>
        <w:gridCol w:w="2268"/>
        <w:gridCol w:w="3119"/>
      </w:tblGrid>
      <w:tr w:rsidR="007F45EF" w:rsidRPr="00E4363C" w14:paraId="05025A3E" w14:textId="77777777" w:rsidTr="006A1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628C3B8" w14:textId="77777777" w:rsidR="007F45EF" w:rsidRPr="00BA0CDD" w:rsidRDefault="007F45EF" w:rsidP="006A1094">
            <w:pPr>
              <w:jc w:val="center"/>
              <w:rPr>
                <w:color w:val="auto"/>
              </w:rPr>
            </w:pPr>
            <w:r w:rsidRPr="00BA0CDD">
              <w:rPr>
                <w:color w:val="auto"/>
              </w:rPr>
              <w:t>Subcategory Breakdown</w:t>
            </w:r>
          </w:p>
        </w:tc>
        <w:tc>
          <w:tcPr>
            <w:tcW w:w="2268" w:type="dxa"/>
            <w:hideMark/>
          </w:tcPr>
          <w:p w14:paraId="24E9396B" w14:textId="77777777" w:rsidR="007F45EF" w:rsidRPr="00BA0CDD" w:rsidRDefault="007F45EF" w:rsidP="006A1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0CDD">
              <w:rPr>
                <w:color w:val="auto"/>
              </w:rPr>
              <w:t># of Queries</w:t>
            </w:r>
          </w:p>
        </w:tc>
        <w:tc>
          <w:tcPr>
            <w:tcW w:w="3119" w:type="dxa"/>
            <w:hideMark/>
          </w:tcPr>
          <w:p w14:paraId="224C93F7" w14:textId="77777777" w:rsidR="007F45EF" w:rsidRPr="00E4363C" w:rsidRDefault="007F45EF" w:rsidP="006A1094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363C">
              <w:rPr>
                <w:color w:val="auto"/>
              </w:rPr>
              <w:t xml:space="preserve">% of </w:t>
            </w:r>
            <w:r>
              <w:rPr>
                <w:color w:val="auto"/>
              </w:rPr>
              <w:t>S</w:t>
            </w:r>
            <w:r w:rsidRPr="00E4363C">
              <w:rPr>
                <w:color w:val="auto"/>
              </w:rPr>
              <w:t>ubcategory</w:t>
            </w:r>
          </w:p>
          <w:p w14:paraId="6ED53941" w14:textId="77777777" w:rsidR="007F45EF" w:rsidRPr="00E4363C" w:rsidRDefault="007F45EF" w:rsidP="006A1094">
            <w:pPr>
              <w:ind w:right="-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F45EF" w:rsidRPr="00BA0CDD" w14:paraId="083F33B5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  <w:vAlign w:val="bottom"/>
          </w:tcPr>
          <w:p w14:paraId="464CB817" w14:textId="43AD10F0" w:rsidR="007F45EF" w:rsidRPr="00BA0CDD" w:rsidRDefault="007F45EF" w:rsidP="006A1094">
            <w:pPr>
              <w:rPr>
                <w:rFonts w:ascii="Calibri" w:hAnsi="Calibri" w:cs="Calibri"/>
                <w:color w:val="000000"/>
              </w:rPr>
            </w:pPr>
            <w:r w:rsidRPr="00BA0CDD">
              <w:rPr>
                <w:color w:val="auto"/>
              </w:rPr>
              <w:t xml:space="preserve">Local Authority and Social Housing                                                                         </w:t>
            </w:r>
            <w:r>
              <w:rPr>
                <w:color w:val="auto"/>
              </w:rPr>
              <w:t xml:space="preserve">                    </w:t>
            </w:r>
            <w:r w:rsidRPr="00BA0CDD">
              <w:rPr>
                <w:color w:val="auto"/>
              </w:rPr>
              <w:t>5</w:t>
            </w:r>
            <w:r w:rsidR="00D01CDE">
              <w:rPr>
                <w:color w:val="auto"/>
              </w:rPr>
              <w:t>1.0</w:t>
            </w:r>
            <w:r w:rsidRPr="00BA0CDD">
              <w:rPr>
                <w:color w:val="auto"/>
              </w:rPr>
              <w:t>%</w:t>
            </w:r>
          </w:p>
        </w:tc>
      </w:tr>
      <w:tr w:rsidR="007F45EF" w:rsidRPr="0087694F" w14:paraId="6EBF1EE6" w14:textId="77777777" w:rsidTr="00D01C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7BAF6910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2268" w:type="dxa"/>
            <w:noWrap/>
          </w:tcPr>
          <w:p w14:paraId="135E8181" w14:textId="79DE5EDE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4,804</w:t>
            </w:r>
          </w:p>
        </w:tc>
        <w:tc>
          <w:tcPr>
            <w:tcW w:w="3119" w:type="dxa"/>
            <w:noWrap/>
          </w:tcPr>
          <w:p w14:paraId="2B9ADA8D" w14:textId="6CC4252D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5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1.6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2910F1EA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351148EE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2268" w:type="dxa"/>
            <w:noWrap/>
          </w:tcPr>
          <w:p w14:paraId="7327912C" w14:textId="5D6EEA9C" w:rsidR="007F45EF" w:rsidRPr="00B863A9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2,178</w:t>
            </w:r>
          </w:p>
        </w:tc>
        <w:tc>
          <w:tcPr>
            <w:tcW w:w="3119" w:type="dxa"/>
            <w:noWrap/>
          </w:tcPr>
          <w:p w14:paraId="4FF94676" w14:textId="1F14096C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3.4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7B5AB3D9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0A1D57B5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68" w:type="dxa"/>
            <w:noWrap/>
          </w:tcPr>
          <w:p w14:paraId="22BA68FD" w14:textId="6DF9C957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636</w:t>
            </w:r>
          </w:p>
        </w:tc>
        <w:tc>
          <w:tcPr>
            <w:tcW w:w="3119" w:type="dxa"/>
            <w:noWrap/>
          </w:tcPr>
          <w:p w14:paraId="645A6828" w14:textId="09783897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6.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8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071F04FB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61B28C8F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2268" w:type="dxa"/>
            <w:noWrap/>
          </w:tcPr>
          <w:p w14:paraId="19C72630" w14:textId="48227AC3" w:rsidR="007F45EF" w:rsidRPr="00B863A9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3119" w:type="dxa"/>
            <w:noWrap/>
          </w:tcPr>
          <w:p w14:paraId="0810C9EC" w14:textId="7A574B60" w:rsidR="007F45EF" w:rsidRPr="00B863A9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2.6</w:t>
            </w:r>
            <w:r w:rsidR="007F45EF"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726B8C" w14:paraId="6FE3AC10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4C0EC509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2268" w:type="dxa"/>
            <w:noWrap/>
          </w:tcPr>
          <w:p w14:paraId="6DA9B86B" w14:textId="3DFBA5C6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3119" w:type="dxa"/>
            <w:noWrap/>
          </w:tcPr>
          <w:p w14:paraId="2314CC05" w14:textId="599D5FC5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2.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2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6C73598D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0C4CD043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2268" w:type="dxa"/>
            <w:noWrap/>
          </w:tcPr>
          <w:p w14:paraId="79DE43EC" w14:textId="7AD9D7CC" w:rsidR="007F45EF" w:rsidRPr="00B863A9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3119" w:type="dxa"/>
            <w:noWrap/>
          </w:tcPr>
          <w:p w14:paraId="5EE0ADAB" w14:textId="23E1E1DD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2.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0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726B8C" w14:paraId="1E72DFCA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203F6DA9" w14:textId="663D5770" w:rsidR="007F45EF" w:rsidRPr="00B863A9" w:rsidRDefault="00D01CDE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Housing Waiting Lists  </w:t>
            </w:r>
          </w:p>
        </w:tc>
        <w:tc>
          <w:tcPr>
            <w:tcW w:w="2268" w:type="dxa"/>
            <w:noWrap/>
          </w:tcPr>
          <w:p w14:paraId="3C5EB48D" w14:textId="027FDB1D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3119" w:type="dxa"/>
            <w:noWrap/>
          </w:tcPr>
          <w:p w14:paraId="18415BFE" w14:textId="607A57F8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2.0</w:t>
            </w:r>
            <w:r w:rsidR="007F45EF"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726B8C" w14:paraId="682FFFCD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38000AEC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Choice Based Lettings</w:t>
            </w:r>
          </w:p>
        </w:tc>
        <w:tc>
          <w:tcPr>
            <w:tcW w:w="2268" w:type="dxa"/>
            <w:noWrap/>
          </w:tcPr>
          <w:p w14:paraId="74AFBE99" w14:textId="23972F69" w:rsidR="007F45EF" w:rsidRPr="00B863A9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3119" w:type="dxa"/>
            <w:noWrap/>
          </w:tcPr>
          <w:p w14:paraId="152FDCA2" w14:textId="4FD24E7C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1.</w:t>
            </w:r>
            <w:r w:rsidR="00D01CDE" w:rsidRPr="00B863A9">
              <w:rPr>
                <w:rFonts w:ascii="Calibri" w:hAnsi="Calibri" w:cs="Calibri"/>
                <w:sz w:val="20"/>
                <w:szCs w:val="20"/>
              </w:rPr>
              <w:t>7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17392EBD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14754A38" w14:textId="5A50573A" w:rsidR="007F45EF" w:rsidRPr="00B863A9" w:rsidRDefault="00D01CDE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Standards/Repairs  </w:t>
            </w:r>
          </w:p>
        </w:tc>
        <w:tc>
          <w:tcPr>
            <w:tcW w:w="2268" w:type="dxa"/>
            <w:noWrap/>
          </w:tcPr>
          <w:p w14:paraId="72AD0BA6" w14:textId="5B96A96F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3119" w:type="dxa"/>
            <w:noWrap/>
          </w:tcPr>
          <w:p w14:paraId="73A4E02E" w14:textId="77777777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7F45EF" w:rsidRPr="0087694F" w14:paraId="7C6302B7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07C2BD0A" w14:textId="0BFA5FA4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Approved Housing Bodies (AHB</w:t>
            </w:r>
            <w:r w:rsidR="0096605D"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</w:t>
            </w: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noWrap/>
          </w:tcPr>
          <w:p w14:paraId="54DADAD5" w14:textId="25143AE1" w:rsidR="007F45EF" w:rsidRPr="00B863A9" w:rsidRDefault="0096605D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3119" w:type="dxa"/>
            <w:noWrap/>
          </w:tcPr>
          <w:p w14:paraId="6B0A120A" w14:textId="3316DB2B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4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347DCE1E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7D6C14B2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2268" w:type="dxa"/>
            <w:noWrap/>
          </w:tcPr>
          <w:p w14:paraId="3662F85C" w14:textId="791515D4" w:rsidR="007F45EF" w:rsidRPr="00B863A9" w:rsidRDefault="0096605D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119" w:type="dxa"/>
            <w:noWrap/>
          </w:tcPr>
          <w:p w14:paraId="0DDEB977" w14:textId="77777777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7F45EF" w:rsidRPr="0087694F" w14:paraId="47084047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59591E1A" w14:textId="2A8223E6" w:rsidR="007F45EF" w:rsidRPr="00B863A9" w:rsidRDefault="0096605D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Rental Accommodation Scheme (RAS) </w:t>
            </w:r>
          </w:p>
        </w:tc>
        <w:tc>
          <w:tcPr>
            <w:tcW w:w="2268" w:type="dxa"/>
            <w:noWrap/>
          </w:tcPr>
          <w:p w14:paraId="4AE4B70B" w14:textId="62A223B7" w:rsidR="007F45EF" w:rsidRPr="00B863A9" w:rsidRDefault="0096605D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119" w:type="dxa"/>
            <w:noWrap/>
          </w:tcPr>
          <w:p w14:paraId="434EF48B" w14:textId="373FCD92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8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3F9560FB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2296BE15" w14:textId="5DA7ED7E" w:rsidR="007F45EF" w:rsidRPr="00B863A9" w:rsidRDefault="0096605D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Tenant in situ (HAP/RAS)</w:t>
            </w:r>
          </w:p>
        </w:tc>
        <w:tc>
          <w:tcPr>
            <w:tcW w:w="2268" w:type="dxa"/>
            <w:noWrap/>
          </w:tcPr>
          <w:p w14:paraId="0C0700C0" w14:textId="4A541319" w:rsidR="007F45EF" w:rsidRPr="00B863A9" w:rsidRDefault="0096605D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119" w:type="dxa"/>
            <w:noWrap/>
          </w:tcPr>
          <w:p w14:paraId="03B4866B" w14:textId="7FD4894B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7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3A30C73C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60B65A2B" w14:textId="37143DA2" w:rsidR="007F45EF" w:rsidRPr="00B863A9" w:rsidRDefault="0096605D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2268" w:type="dxa"/>
            <w:noWrap/>
          </w:tcPr>
          <w:p w14:paraId="4EAE0D6B" w14:textId="40B76B07" w:rsidR="007F45EF" w:rsidRPr="00B863A9" w:rsidRDefault="0096605D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119" w:type="dxa"/>
            <w:noWrap/>
          </w:tcPr>
          <w:p w14:paraId="0645ADFF" w14:textId="0FEEDF86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6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575289AB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7C581A17" w14:textId="1D282B38" w:rsidR="007F45EF" w:rsidRPr="00B863A9" w:rsidRDefault="0096605D" w:rsidP="006A1094">
            <w:pPr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Anti-social behaviour </w:t>
            </w:r>
          </w:p>
        </w:tc>
        <w:tc>
          <w:tcPr>
            <w:tcW w:w="2268" w:type="dxa"/>
            <w:noWrap/>
          </w:tcPr>
          <w:p w14:paraId="5AEDE7A1" w14:textId="407FCF85" w:rsidR="007F45EF" w:rsidRPr="00B863A9" w:rsidRDefault="0096605D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119" w:type="dxa"/>
            <w:noWrap/>
          </w:tcPr>
          <w:p w14:paraId="73DBEE51" w14:textId="438D6E13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6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45F8F0F3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147842DC" w14:textId="290EC73B" w:rsidR="007F45EF" w:rsidRPr="00B863A9" w:rsidRDefault="0096605D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Tenant Purchase (Incremental Scheme)</w:t>
            </w:r>
          </w:p>
        </w:tc>
        <w:tc>
          <w:tcPr>
            <w:tcW w:w="2268" w:type="dxa"/>
            <w:noWrap/>
          </w:tcPr>
          <w:p w14:paraId="64A9AE50" w14:textId="3274AA15" w:rsidR="007F45EF" w:rsidRPr="00B863A9" w:rsidRDefault="0096605D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119" w:type="dxa"/>
            <w:noWrap/>
          </w:tcPr>
          <w:p w14:paraId="5C911C56" w14:textId="6085BC92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4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43702154" w14:textId="77777777" w:rsidTr="00B863A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7A406EB8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Tenancy Succession</w:t>
            </w:r>
          </w:p>
        </w:tc>
        <w:tc>
          <w:tcPr>
            <w:tcW w:w="2268" w:type="dxa"/>
            <w:noWrap/>
          </w:tcPr>
          <w:p w14:paraId="14E47DE2" w14:textId="46D230B2" w:rsidR="007F45EF" w:rsidRPr="00B863A9" w:rsidRDefault="0096605D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119" w:type="dxa"/>
            <w:noWrap/>
          </w:tcPr>
          <w:p w14:paraId="1CBE1674" w14:textId="70FC8BD5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</w:t>
            </w:r>
            <w:r w:rsidR="0096605D" w:rsidRPr="00B863A9">
              <w:rPr>
                <w:rFonts w:ascii="Calibri" w:hAnsi="Calibri" w:cs="Calibri"/>
                <w:sz w:val="20"/>
                <w:szCs w:val="20"/>
              </w:rPr>
              <w:t>4</w:t>
            </w:r>
            <w:r w:rsidRPr="00B863A9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F45EF" w:rsidRPr="0087694F" w14:paraId="1672D938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3FBB6E67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Traveller Accommodation</w:t>
            </w:r>
          </w:p>
        </w:tc>
        <w:tc>
          <w:tcPr>
            <w:tcW w:w="2268" w:type="dxa"/>
            <w:noWrap/>
          </w:tcPr>
          <w:p w14:paraId="14874BEC" w14:textId="592E247E" w:rsidR="007F45EF" w:rsidRPr="00B863A9" w:rsidRDefault="0096605D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noWrap/>
          </w:tcPr>
          <w:p w14:paraId="257862CB" w14:textId="77777777" w:rsidR="007F45EF" w:rsidRPr="00B863A9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863A9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7F45EF" w:rsidRPr="00E506C9" w14:paraId="466AAFCB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4F03FA28" w14:textId="77777777" w:rsidR="007F45EF" w:rsidRPr="00B863A9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66A0AEF0" w14:textId="014FF399" w:rsidR="007F45EF" w:rsidRPr="00B863A9" w:rsidRDefault="00B863A9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9,313</w:t>
            </w:r>
          </w:p>
        </w:tc>
        <w:tc>
          <w:tcPr>
            <w:tcW w:w="3119" w:type="dxa"/>
            <w:noWrap/>
          </w:tcPr>
          <w:p w14:paraId="3D64284C" w14:textId="77777777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05BEF0C5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05E6E3D4" w14:textId="1396BCC0" w:rsidR="007F45EF" w:rsidRPr="00D065B1" w:rsidRDefault="007F45EF" w:rsidP="006A1094">
            <w:pPr>
              <w:rPr>
                <w:rFonts w:ascii="Calibri" w:hAnsi="Calibri" w:cs="Calibri"/>
                <w:color w:val="000000"/>
              </w:rPr>
            </w:pPr>
            <w:r w:rsidRPr="0087694F">
              <w:rPr>
                <w:color w:val="auto"/>
              </w:rPr>
              <w:t xml:space="preserve">Housing Grants and Schemes      </w:t>
            </w:r>
            <w:r>
              <w:rPr>
                <w:color w:val="auto"/>
              </w:rPr>
              <w:t xml:space="preserve"> </w:t>
            </w:r>
            <w:r w:rsidRPr="0087694F">
              <w:rPr>
                <w:color w:val="auto"/>
              </w:rPr>
              <w:t xml:space="preserve">                                                                       </w:t>
            </w:r>
            <w:r>
              <w:rPr>
                <w:color w:val="auto"/>
              </w:rPr>
              <w:t xml:space="preserve">                  </w:t>
            </w:r>
            <w:r w:rsidRPr="0087694F">
              <w:rPr>
                <w:color w:val="auto"/>
              </w:rPr>
              <w:t xml:space="preserve">      1</w:t>
            </w:r>
            <w:r w:rsidR="00B863A9">
              <w:rPr>
                <w:color w:val="auto"/>
              </w:rPr>
              <w:t>4.7</w:t>
            </w:r>
            <w:r w:rsidRPr="0087694F">
              <w:rPr>
                <w:color w:val="auto"/>
              </w:rPr>
              <w:t>%</w:t>
            </w:r>
          </w:p>
        </w:tc>
      </w:tr>
      <w:tr w:rsidR="007F45EF" w:rsidRPr="00E506C9" w14:paraId="12FFD3D7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09276440" w14:textId="7100E843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Housing </w:t>
            </w:r>
            <w:r w:rsidR="00D01CDE"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Aid for Older People</w:t>
            </w:r>
          </w:p>
        </w:tc>
        <w:tc>
          <w:tcPr>
            <w:tcW w:w="2268" w:type="dxa"/>
            <w:noWrap/>
          </w:tcPr>
          <w:p w14:paraId="473DA4F2" w14:textId="20ECF763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01CDE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,115</w:t>
            </w:r>
          </w:p>
        </w:tc>
        <w:tc>
          <w:tcPr>
            <w:tcW w:w="3119" w:type="dxa"/>
            <w:noWrap/>
          </w:tcPr>
          <w:p w14:paraId="22EDAC83" w14:textId="7128B69A" w:rsidR="00D01CDE" w:rsidRPr="00B863A9" w:rsidRDefault="00D01CDE" w:rsidP="00D01C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41.5%</w:t>
            </w:r>
          </w:p>
        </w:tc>
      </w:tr>
      <w:tr w:rsidR="00D01CDE" w:rsidRPr="00E506C9" w14:paraId="1EAB80A8" w14:textId="77777777" w:rsidTr="00D01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34032B74" w14:textId="77662F9B" w:rsidR="00D01CDE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Housing Adaption for People with Disability</w:t>
            </w:r>
          </w:p>
        </w:tc>
        <w:tc>
          <w:tcPr>
            <w:tcW w:w="2268" w:type="dxa"/>
            <w:noWrap/>
          </w:tcPr>
          <w:p w14:paraId="78A6D1AF" w14:textId="6D59D722" w:rsidR="00D01CDE" w:rsidRPr="009F0830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3119" w:type="dxa"/>
            <w:noWrap/>
          </w:tcPr>
          <w:p w14:paraId="32C730E5" w14:textId="494E78B5" w:rsidR="00D01CDE" w:rsidRPr="009F0830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29.8%</w:t>
            </w:r>
          </w:p>
        </w:tc>
      </w:tr>
      <w:tr w:rsidR="00D01CDE" w:rsidRPr="00E506C9" w14:paraId="694D9821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3DA5F658" w14:textId="4305B0D4" w:rsidR="00D01CDE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68" w:type="dxa"/>
            <w:noWrap/>
          </w:tcPr>
          <w:p w14:paraId="22E85C59" w14:textId="6B6642EA" w:rsidR="00D01CDE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119" w:type="dxa"/>
            <w:noWrap/>
          </w:tcPr>
          <w:p w14:paraId="472B75A8" w14:textId="152E598C" w:rsidR="00D01CDE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14.6%</w:t>
            </w:r>
          </w:p>
        </w:tc>
      </w:tr>
      <w:tr w:rsidR="00D01CDE" w:rsidRPr="00E506C9" w14:paraId="34500837" w14:textId="77777777" w:rsidTr="00D01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3C0183E7" w14:textId="71EEEC2D" w:rsidR="00D01CDE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Blank</w:t>
            </w:r>
          </w:p>
        </w:tc>
        <w:tc>
          <w:tcPr>
            <w:tcW w:w="2268" w:type="dxa"/>
            <w:noWrap/>
          </w:tcPr>
          <w:p w14:paraId="212E1906" w14:textId="39664722" w:rsidR="00D01CDE" w:rsidRPr="009F0830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19" w:type="dxa"/>
            <w:noWrap/>
          </w:tcPr>
          <w:p w14:paraId="0082C86F" w14:textId="5CA82956" w:rsidR="00D01CDE" w:rsidRPr="009F0830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8.6%</w:t>
            </w:r>
          </w:p>
        </w:tc>
      </w:tr>
      <w:tr w:rsidR="00D01CDE" w:rsidRPr="00E506C9" w14:paraId="1A038424" w14:textId="77777777" w:rsidTr="00D01CD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156EDC82" w14:textId="66BA8D2C" w:rsidR="00D01CDE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Mobility Aid Grant Scheme</w:t>
            </w:r>
          </w:p>
        </w:tc>
        <w:tc>
          <w:tcPr>
            <w:tcW w:w="2268" w:type="dxa"/>
            <w:noWrap/>
          </w:tcPr>
          <w:p w14:paraId="590E1801" w14:textId="160DEFF4" w:rsidR="00D01CDE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19" w:type="dxa"/>
            <w:noWrap/>
          </w:tcPr>
          <w:p w14:paraId="0CBBC1B9" w14:textId="6609C7AA" w:rsidR="00D01CDE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5.4%</w:t>
            </w:r>
          </w:p>
        </w:tc>
      </w:tr>
      <w:tr w:rsidR="007F45EF" w:rsidRPr="00E506C9" w14:paraId="4830B4F9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7B6EA60F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5EE58E2D" w14:textId="41EBAB64" w:rsidR="007F45EF" w:rsidRPr="00963E11" w:rsidRDefault="00B863A9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2,684</w:t>
            </w:r>
          </w:p>
        </w:tc>
        <w:tc>
          <w:tcPr>
            <w:tcW w:w="3119" w:type="dxa"/>
            <w:noWrap/>
          </w:tcPr>
          <w:p w14:paraId="278C3096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5B19A906" w14:textId="77777777" w:rsidTr="006A1094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  <w:vAlign w:val="bottom"/>
          </w:tcPr>
          <w:p w14:paraId="0F9B7D11" w14:textId="01D2AEFE" w:rsidR="007F45EF" w:rsidRPr="00D065B1" w:rsidRDefault="007F45EF" w:rsidP="006A1094">
            <w:pPr>
              <w:rPr>
                <w:rFonts w:ascii="Calibri" w:hAnsi="Calibri" w:cs="Calibri"/>
                <w:color w:val="000000"/>
              </w:rPr>
            </w:pPr>
            <w:r w:rsidRPr="0087694F">
              <w:rPr>
                <w:color w:val="auto"/>
              </w:rPr>
              <w:t xml:space="preserve">Renting a Home (Private Rental </w:t>
            </w:r>
            <w:proofErr w:type="gramStart"/>
            <w:r w:rsidRPr="0087694F">
              <w:rPr>
                <w:color w:val="auto"/>
              </w:rPr>
              <w:t xml:space="preserve">Accommodation)   </w:t>
            </w:r>
            <w:proofErr w:type="gramEnd"/>
            <w:r w:rsidRPr="0087694F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 w:rsidRPr="0087694F">
              <w:rPr>
                <w:color w:val="auto"/>
              </w:rPr>
              <w:t xml:space="preserve">                                   </w:t>
            </w:r>
            <w:r>
              <w:rPr>
                <w:color w:val="auto"/>
              </w:rPr>
              <w:t xml:space="preserve">                          </w:t>
            </w:r>
            <w:r w:rsidRPr="0087694F">
              <w:rPr>
                <w:color w:val="auto"/>
              </w:rPr>
              <w:t>1</w:t>
            </w:r>
            <w:r w:rsidR="008C2312">
              <w:rPr>
                <w:color w:val="auto"/>
              </w:rPr>
              <w:t>1.8</w:t>
            </w:r>
            <w:r w:rsidRPr="0087694F">
              <w:rPr>
                <w:color w:val="auto"/>
              </w:rPr>
              <w:t>%</w:t>
            </w:r>
            <w:r w:rsidRPr="00D065B1">
              <w:rPr>
                <w:rFonts w:ascii="Calibri" w:hAnsi="Calibri" w:cs="Calibri"/>
                <w:color w:val="000000"/>
              </w:rPr>
              <w:t xml:space="preserve">                         </w:t>
            </w:r>
          </w:p>
        </w:tc>
      </w:tr>
      <w:tr w:rsidR="007F45EF" w:rsidRPr="00E506C9" w14:paraId="04A67BE4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02763FB2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0D765474" w14:textId="527A1A10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0F928FE2" w14:textId="3AFC1B4E" w:rsidR="007F45EF" w:rsidRPr="009F0830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C2312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273C97BA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01EB8272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42F7EDC3" w14:textId="126D0C94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3C691AF9" w14:textId="646D38BF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C2312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7.3</w:t>
            </w: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46DF2B3C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5A95892B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Tenants' Rights and Obligations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35BC2537" w14:textId="06D858BD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0DEC8CB8" w14:textId="5D0491BC" w:rsidR="007F45EF" w:rsidRPr="009F0830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C2312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5.3</w:t>
            </w: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7B526E8D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7A8A8611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Landlords' Rights &amp; Obligations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2F46423F" w14:textId="08960134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35683F55" w14:textId="39978714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C2312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3.3</w:t>
            </w: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634BC5D3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24680CCA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46BF54B5" w14:textId="42615F1A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35218DDA" w14:textId="4ECFC3AC" w:rsidR="007F45EF" w:rsidRPr="009F0830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  <w:r w:rsidR="008C2312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799A715D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6CF1237D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79EB6B91" w14:textId="2F0B29CC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578A8EF0" w14:textId="3F30CB61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  <w:r w:rsidR="007F45EF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25EA5556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34FBF75E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414DB148" w14:textId="409105DE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5C96F2B8" w14:textId="5D8FF576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5.2</w:t>
            </w:r>
            <w:r w:rsidR="007F45EF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7B965813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29D88B93" w14:textId="7CE1FFE1" w:rsidR="007F45EF" w:rsidRPr="00B863A9" w:rsidRDefault="008C2312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Deposit Retention  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736F5D3E" w14:textId="3C203FEE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1259015F" w14:textId="2D2D4075" w:rsidR="007F45EF" w:rsidRPr="00B863A9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4.4</w:t>
            </w:r>
            <w:r w:rsidR="007F45EF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06AC4ACC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51BDC471" w14:textId="134F528F" w:rsidR="007F45EF" w:rsidRPr="00B863A9" w:rsidRDefault="008C2312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7826007C" w14:textId="1DEBC4F9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64ED824A" w14:textId="6168AAF1" w:rsidR="007F45EF" w:rsidRPr="009F0830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3.6</w:t>
            </w:r>
            <w:r w:rsidR="007F45EF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789BB0A9" w14:textId="77777777" w:rsidTr="006A109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1ABE1588" w14:textId="2A3B18BD" w:rsidR="007F45EF" w:rsidRPr="00B863A9" w:rsidRDefault="008C2312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Licensee  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094CB656" w14:textId="49D5C881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5EFBAFFF" w14:textId="44BDEB94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D01CDE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3D8BC006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07D53A3C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Cost Rental Housing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1A27C692" w14:textId="79EED3C7" w:rsidR="007F45EF" w:rsidRPr="00BB26BF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26B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F45EF" w:rsidRPr="00BB26B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02F9A06A" w14:textId="512A6330" w:rsidR="007F45EF" w:rsidRPr="009F0830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D01CDE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29BDFD50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355284E4" w14:textId="77777777" w:rsidR="007F45EF" w:rsidRPr="00B863A9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Short-term rental lets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39C10016" w14:textId="112DC75E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01CDE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3C2D1CFD" w14:textId="1BC55EBF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D01CDE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.6</w:t>
            </w: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2799500E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vAlign w:val="bottom"/>
          </w:tcPr>
          <w:p w14:paraId="78ABB303" w14:textId="18163A47" w:rsidR="007F45EF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Cost Rental – Tenant in situ scheme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vAlign w:val="bottom"/>
          </w:tcPr>
          <w:p w14:paraId="6DFF68D5" w14:textId="3D4F100F" w:rsidR="007F45EF" w:rsidRPr="009F0830" w:rsidRDefault="00D01CDE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7A659F33" w14:textId="1FA927FF" w:rsidR="007F45EF" w:rsidRPr="009F0830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D01CDE"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F083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E506C9" w14:paraId="5EF0B2F7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vAlign w:val="bottom"/>
          </w:tcPr>
          <w:p w14:paraId="3FA0EB8C" w14:textId="27C677E2" w:rsidR="007F45EF" w:rsidRPr="00B863A9" w:rsidRDefault="00D01CDE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Non-Resident Landlords (Withholding Tax)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vAlign w:val="bottom"/>
          </w:tcPr>
          <w:p w14:paraId="1B79381F" w14:textId="580AB6FA" w:rsidR="007F45EF" w:rsidRPr="00B863A9" w:rsidRDefault="00D01CDE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146AC412" w14:textId="4A33371D" w:rsidR="007F45EF" w:rsidRPr="00B863A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D01CDE"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B863A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7F45EF" w:rsidRPr="00D33909" w14:paraId="3271CDEA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530E920F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hideMark/>
          </w:tcPr>
          <w:p w14:paraId="71062B9A" w14:textId="0254D97D" w:rsidR="007F45EF" w:rsidRPr="00963E11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2,163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  <w:hideMark/>
          </w:tcPr>
          <w:p w14:paraId="14C3B134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2ACDAFF6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2F5626C" w14:textId="0D75C642" w:rsidR="007F45EF" w:rsidRPr="00D065B1" w:rsidRDefault="007F45EF" w:rsidP="006A1094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D33909">
              <w:rPr>
                <w:color w:val="auto"/>
              </w:rPr>
              <w:t xml:space="preserve">Home Energy Grants (SEAI)                    </w:t>
            </w:r>
            <w:r>
              <w:rPr>
                <w:color w:val="auto"/>
              </w:rPr>
              <w:t xml:space="preserve">       </w:t>
            </w:r>
            <w:r w:rsidRPr="00D33909">
              <w:rPr>
                <w:color w:val="auto"/>
              </w:rPr>
              <w:t xml:space="preserve">                                                       </w:t>
            </w:r>
            <w:r>
              <w:rPr>
                <w:color w:val="auto"/>
              </w:rPr>
              <w:t xml:space="preserve">                        </w:t>
            </w:r>
            <w:r w:rsidR="008C2312">
              <w:rPr>
                <w:color w:val="auto"/>
              </w:rPr>
              <w:t>8.7</w:t>
            </w:r>
            <w:r w:rsidRPr="00885B57">
              <w:rPr>
                <w:color w:val="auto"/>
              </w:rPr>
              <w:t>%</w:t>
            </w:r>
          </w:p>
        </w:tc>
      </w:tr>
      <w:tr w:rsidR="007F45EF" w:rsidRPr="00726B8C" w14:paraId="76C3C9AC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2FE44B55" w14:textId="5172A0A8" w:rsidR="007F45EF" w:rsidRPr="00E4363C" w:rsidRDefault="00213857" w:rsidP="006A1094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213857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</w:t>
            </w:r>
            <w:r w:rsidR="007F45EF" w:rsidRPr="00213857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ome Energy Grants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</w:tcPr>
          <w:p w14:paraId="642AC2FC" w14:textId="5CAA3239" w:rsidR="007F45EF" w:rsidRPr="00213857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1,584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578725D9" w14:textId="77777777" w:rsidR="007F45EF" w:rsidRPr="00726B8C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7F45EF" w:rsidRPr="00E506C9" w14:paraId="14889489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501CD580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</w:tcPr>
          <w:p w14:paraId="7D377FD0" w14:textId="1FE6D3EB" w:rsidR="007F45EF" w:rsidRPr="00963E11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1,584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552F597B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885B57" w14:paraId="455C8635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6B6FEDF" w14:textId="2F1B6827" w:rsidR="007F45EF" w:rsidRPr="00885B57" w:rsidRDefault="007F45EF" w:rsidP="006A1094">
            <w:pPr>
              <w:rPr>
                <w:color w:val="auto"/>
              </w:rPr>
            </w:pPr>
            <w:r w:rsidRPr="00D33909">
              <w:rPr>
                <w:color w:val="auto"/>
              </w:rPr>
              <w:t xml:space="preserve">Homelessness    </w:t>
            </w:r>
            <w:r w:rsidRPr="00885B57">
              <w:rPr>
                <w:color w:val="auto"/>
              </w:rPr>
              <w:t xml:space="preserve">                                             </w:t>
            </w:r>
            <w:r>
              <w:rPr>
                <w:color w:val="auto"/>
              </w:rPr>
              <w:t xml:space="preserve">           </w:t>
            </w:r>
            <w:r w:rsidRPr="00885B57">
              <w:rPr>
                <w:color w:val="auto"/>
              </w:rPr>
              <w:t xml:space="preserve">                                                                  </w:t>
            </w:r>
            <w:r>
              <w:rPr>
                <w:color w:val="auto"/>
              </w:rPr>
              <w:t xml:space="preserve"> </w:t>
            </w:r>
            <w:r w:rsidRPr="00885B57">
              <w:rPr>
                <w:color w:val="auto"/>
              </w:rPr>
              <w:t>4.</w:t>
            </w:r>
            <w:r w:rsidR="008C2312">
              <w:rPr>
                <w:color w:val="auto"/>
              </w:rPr>
              <w:t>4</w:t>
            </w:r>
            <w:r w:rsidRPr="00885B57">
              <w:rPr>
                <w:color w:val="auto"/>
              </w:rPr>
              <w:t>%</w:t>
            </w:r>
          </w:p>
        </w:tc>
      </w:tr>
      <w:tr w:rsidR="007F45EF" w:rsidRPr="00726B8C" w14:paraId="1A0B37CD" w14:textId="77777777" w:rsidTr="008C231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099566E4" w14:textId="77777777" w:rsidR="007F45EF" w:rsidRPr="00D065B1" w:rsidRDefault="007F45EF" w:rsidP="006A1094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213857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Homelessness</w:t>
            </w:r>
          </w:p>
        </w:tc>
        <w:tc>
          <w:tcPr>
            <w:tcW w:w="2268" w:type="dxa"/>
            <w:noWrap/>
            <w:hideMark/>
          </w:tcPr>
          <w:p w14:paraId="4398DED1" w14:textId="0B6A6641" w:rsidR="007F45EF" w:rsidRPr="00213857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3119" w:type="dxa"/>
            <w:noWrap/>
          </w:tcPr>
          <w:p w14:paraId="5AA8D549" w14:textId="77777777" w:rsidR="007F45EF" w:rsidRPr="00726B8C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7F45EF" w:rsidRPr="00E506C9" w14:paraId="67B0600F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hideMark/>
          </w:tcPr>
          <w:p w14:paraId="3B6864A0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  <w:hideMark/>
          </w:tcPr>
          <w:p w14:paraId="2EE92DF6" w14:textId="37677777" w:rsidR="007F45EF" w:rsidRPr="00963E11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799</w:t>
            </w:r>
          </w:p>
        </w:tc>
        <w:tc>
          <w:tcPr>
            <w:tcW w:w="3119" w:type="dxa"/>
            <w:noWrap/>
            <w:hideMark/>
          </w:tcPr>
          <w:p w14:paraId="4294F60E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70659DDE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74620BA5" w14:textId="2A1AE951" w:rsidR="007F45EF" w:rsidRPr="00D065B1" w:rsidRDefault="007F45EF" w:rsidP="006A1094">
            <w:pPr>
              <w:rPr>
                <w:rFonts w:ascii="Calibri" w:hAnsi="Calibri" w:cs="Calibri"/>
                <w:color w:val="000000"/>
              </w:rPr>
            </w:pPr>
            <w:r w:rsidRPr="00D33909">
              <w:rPr>
                <w:color w:val="auto"/>
              </w:rPr>
              <w:t>Other</w:t>
            </w:r>
            <w:r w:rsidRPr="00D33909">
              <w:rPr>
                <w:color w:val="auto"/>
              </w:rPr>
              <w:tab/>
              <w:t xml:space="preserve">                                                   </w:t>
            </w:r>
            <w:r>
              <w:rPr>
                <w:color w:val="auto"/>
              </w:rPr>
              <w:t xml:space="preserve">         </w:t>
            </w:r>
            <w:r w:rsidRPr="00D33909">
              <w:rPr>
                <w:color w:val="auto"/>
              </w:rPr>
              <w:t xml:space="preserve">                                                                 </w:t>
            </w:r>
            <w:r>
              <w:rPr>
                <w:color w:val="auto"/>
              </w:rPr>
              <w:t xml:space="preserve">             4.</w:t>
            </w:r>
            <w:r w:rsidR="008C2312">
              <w:rPr>
                <w:color w:val="auto"/>
              </w:rPr>
              <w:t>2</w:t>
            </w:r>
            <w:r w:rsidRPr="00D065B1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7F45EF" w:rsidRPr="00726B8C" w14:paraId="04DED8B0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05664144" w14:textId="77777777" w:rsidR="007F45EF" w:rsidRPr="00D065B1" w:rsidRDefault="007F45EF" w:rsidP="006A1094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E506C9">
              <w:rPr>
                <w:b w:val="0"/>
                <w:bCs w:val="0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</w:tcPr>
          <w:p w14:paraId="3EE28BAB" w14:textId="0B9244A8" w:rsidR="007F45EF" w:rsidRPr="00213857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14150148" w14:textId="77777777" w:rsidR="007F45EF" w:rsidRPr="00726B8C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7F45EF" w:rsidRPr="00E506C9" w14:paraId="6D28FB3B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742B8DE2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</w:tcPr>
          <w:p w14:paraId="45EF0EE9" w14:textId="0681A5C5" w:rsidR="007F45EF" w:rsidRPr="00963E11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773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7F1BEB90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689A8E11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83AF374" w14:textId="725713C3" w:rsidR="007F45EF" w:rsidRPr="00D065B1" w:rsidRDefault="007F45EF" w:rsidP="006A1094">
            <w:pPr>
              <w:rPr>
                <w:rFonts w:ascii="Calibri" w:hAnsi="Calibri" w:cs="Calibri"/>
                <w:color w:val="000000"/>
              </w:rPr>
            </w:pPr>
            <w:r w:rsidRPr="00D33909">
              <w:rPr>
                <w:color w:val="auto"/>
              </w:rPr>
              <w:t>Buying/Owning a Home</w:t>
            </w:r>
            <w:r w:rsidRPr="00D065B1">
              <w:rPr>
                <w:rFonts w:ascii="Calibri" w:hAnsi="Calibri" w:cs="Calibri"/>
                <w:color w:val="000000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D065B1">
              <w:rPr>
                <w:rFonts w:ascii="Calibri" w:hAnsi="Calibri" w:cs="Calibri"/>
                <w:color w:val="000000"/>
              </w:rPr>
              <w:t xml:space="preserve">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</w:t>
            </w:r>
            <w:r w:rsidRPr="00885B57">
              <w:rPr>
                <w:color w:val="auto"/>
              </w:rPr>
              <w:t>3.</w:t>
            </w:r>
            <w:r w:rsidR="008C2312">
              <w:rPr>
                <w:color w:val="auto"/>
              </w:rPr>
              <w:t>2</w:t>
            </w:r>
            <w:r w:rsidRPr="00885B57">
              <w:rPr>
                <w:color w:val="auto"/>
              </w:rPr>
              <w:t>%</w:t>
            </w:r>
          </w:p>
        </w:tc>
      </w:tr>
      <w:tr w:rsidR="007F45EF" w:rsidRPr="00726B8C" w14:paraId="6B08BD3A" w14:textId="77777777" w:rsidTr="008C231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0C4915B8" w14:textId="77777777" w:rsidR="007F45EF" w:rsidRPr="00963E11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Buying/ Owning a Home</w:t>
            </w:r>
          </w:p>
        </w:tc>
        <w:tc>
          <w:tcPr>
            <w:tcW w:w="2268" w:type="dxa"/>
            <w:noWrap/>
          </w:tcPr>
          <w:p w14:paraId="6AD2EAC4" w14:textId="0376D11B" w:rsidR="007F45EF" w:rsidRPr="00213857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F45EF"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noWrap/>
            <w:hideMark/>
          </w:tcPr>
          <w:p w14:paraId="38854083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763F9A23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hideMark/>
          </w:tcPr>
          <w:p w14:paraId="49503987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25BBD9C5" w14:textId="2350F403" w:rsidR="007F45EF" w:rsidRPr="00963E11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581</w:t>
            </w:r>
          </w:p>
        </w:tc>
        <w:tc>
          <w:tcPr>
            <w:tcW w:w="3119" w:type="dxa"/>
            <w:noWrap/>
            <w:hideMark/>
          </w:tcPr>
          <w:p w14:paraId="329E195C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885B57" w14:paraId="5750686E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01092801" w14:textId="00DDEEBF" w:rsidR="007F45EF" w:rsidRPr="00885B57" w:rsidRDefault="008C2312" w:rsidP="006A1094">
            <w:pPr>
              <w:rPr>
                <w:b w:val="0"/>
                <w:bCs w:val="0"/>
              </w:rPr>
            </w:pPr>
            <w:r>
              <w:rPr>
                <w:color w:val="auto"/>
              </w:rPr>
              <w:t xml:space="preserve">Losing your Home                                                                                                                         </w:t>
            </w:r>
            <w:r w:rsidR="007F45EF" w:rsidRPr="00885B57">
              <w:rPr>
                <w:color w:val="auto"/>
              </w:rPr>
              <w:t>0.5%</w:t>
            </w:r>
          </w:p>
        </w:tc>
      </w:tr>
      <w:tr w:rsidR="007F45EF" w:rsidRPr="00726B8C" w14:paraId="3E1101F8" w14:textId="77777777" w:rsidTr="008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42C33B66" w14:textId="3039FBB4" w:rsidR="007F45EF" w:rsidRPr="00963E11" w:rsidRDefault="008C2312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Losing your Home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  <w:hideMark/>
          </w:tcPr>
          <w:p w14:paraId="56CA8B86" w14:textId="6A197330" w:rsidR="007F45EF" w:rsidRPr="00213857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33577ADB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263A8A8F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hideMark/>
          </w:tcPr>
          <w:p w14:paraId="2D855BD7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hideMark/>
          </w:tcPr>
          <w:p w14:paraId="70210B4A" w14:textId="4D2098D1" w:rsidR="007F45EF" w:rsidRPr="00963E11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3EBAFAF6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D065B1" w14:paraId="3994DA85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2EE24599" w14:textId="345F1CED" w:rsidR="007F45EF" w:rsidRPr="00D065B1" w:rsidRDefault="008C2312" w:rsidP="006A1094">
            <w:pPr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color w:val="auto"/>
              </w:rPr>
              <w:t>Planning Permission</w:t>
            </w:r>
            <w:r w:rsidR="007F45EF" w:rsidRPr="0007693D">
              <w:rPr>
                <w:color w:val="auto"/>
              </w:rPr>
              <w:tab/>
            </w:r>
            <w:r w:rsidR="007F45EF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</w:t>
            </w:r>
            <w:r w:rsidR="007F45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F45EF" w:rsidRPr="00D065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7F45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</w:t>
            </w:r>
            <w:r w:rsidR="007F45EF" w:rsidRPr="00885B57">
              <w:rPr>
                <w:color w:val="auto"/>
              </w:rPr>
              <w:t>0.5%</w:t>
            </w:r>
          </w:p>
        </w:tc>
      </w:tr>
      <w:tr w:rsidR="007F45EF" w:rsidRPr="00726B8C" w14:paraId="23040134" w14:textId="77777777" w:rsidTr="00190935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1E8FF54A" w14:textId="6192539A" w:rsidR="007F45EF" w:rsidRPr="00963E11" w:rsidRDefault="008C2312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Planning Permission</w:t>
            </w:r>
          </w:p>
        </w:tc>
        <w:tc>
          <w:tcPr>
            <w:tcW w:w="2268" w:type="dxa"/>
            <w:noWrap/>
          </w:tcPr>
          <w:p w14:paraId="13C1CA9D" w14:textId="0B0AB5DC" w:rsidR="007F45EF" w:rsidRPr="00213857" w:rsidRDefault="008C2312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9" w:type="dxa"/>
            <w:noWrap/>
          </w:tcPr>
          <w:p w14:paraId="0C869B64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36FA028F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6BAEF25E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3194EF1E" w14:textId="76B66DC9" w:rsidR="007F45EF" w:rsidRPr="00963E11" w:rsidRDefault="008C2312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9" w:type="dxa"/>
            <w:noWrap/>
          </w:tcPr>
          <w:p w14:paraId="39A62C30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07693D" w14:paraId="45289F82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3040E89D" w14:textId="77777777" w:rsidR="007F45EF" w:rsidRPr="0007693D" w:rsidRDefault="007F45EF" w:rsidP="006A1094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5B57">
              <w:rPr>
                <w:color w:val="auto"/>
              </w:rPr>
              <w:t xml:space="preserve">Emergency Accommodation             </w:t>
            </w:r>
            <w:r>
              <w:rPr>
                <w:color w:val="auto"/>
              </w:rPr>
              <w:t xml:space="preserve">      </w:t>
            </w:r>
            <w:r w:rsidRPr="00885B57">
              <w:rPr>
                <w:color w:val="auto"/>
              </w:rPr>
              <w:t xml:space="preserve">                                                                                       0.4%</w:t>
            </w:r>
          </w:p>
        </w:tc>
      </w:tr>
      <w:tr w:rsidR="007F45EF" w:rsidRPr="00E260BC" w14:paraId="41EF2473" w14:textId="77777777" w:rsidTr="0019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  <w:hideMark/>
          </w:tcPr>
          <w:p w14:paraId="427C1B36" w14:textId="77777777" w:rsidR="007F45EF" w:rsidRPr="00963E11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Emergency Accommodation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</w:tcPr>
          <w:p w14:paraId="2E2CD06B" w14:textId="29B7B83F" w:rsidR="007F45EF" w:rsidRPr="00213857" w:rsidRDefault="00190935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08445EA2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2B9DC493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  <w:hideMark/>
          </w:tcPr>
          <w:p w14:paraId="0E562114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  <w:hideMark/>
          </w:tcPr>
          <w:p w14:paraId="193FB2D1" w14:textId="0EDDB269" w:rsidR="007F45EF" w:rsidRPr="00963E11" w:rsidRDefault="00190935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  <w:hideMark/>
          </w:tcPr>
          <w:p w14:paraId="3BBBB865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885B57" w14:paraId="138AB8F2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E8AF29F" w14:textId="77777777" w:rsidR="007F45EF" w:rsidRPr="00885B57" w:rsidRDefault="007F45EF" w:rsidP="006A1094">
            <w:pPr>
              <w:tabs>
                <w:tab w:val="right" w:pos="11970"/>
              </w:tabs>
              <w:rPr>
                <w:color w:val="auto"/>
              </w:rPr>
            </w:pPr>
            <w:r w:rsidRPr="00885B57">
              <w:rPr>
                <w:color w:val="auto"/>
              </w:rPr>
              <w:t>Building or Altering a Home</w:t>
            </w:r>
            <w:r w:rsidRPr="00885B57">
              <w:rPr>
                <w:color w:val="auto"/>
              </w:rPr>
              <w:tab/>
            </w:r>
            <w:r>
              <w:rPr>
                <w:color w:val="auto"/>
              </w:rPr>
              <w:t xml:space="preserve">    </w:t>
            </w:r>
            <w:r w:rsidRPr="00885B57">
              <w:rPr>
                <w:color w:val="auto"/>
              </w:rPr>
              <w:t>0.3%</w:t>
            </w:r>
          </w:p>
        </w:tc>
      </w:tr>
      <w:tr w:rsidR="007F45EF" w:rsidRPr="00E506C9" w14:paraId="0D4F68A2" w14:textId="77777777" w:rsidTr="00190935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4BE5E711" w14:textId="77777777" w:rsidR="007F45EF" w:rsidRPr="00963E11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Building or Altering a Home</w:t>
            </w:r>
          </w:p>
        </w:tc>
        <w:tc>
          <w:tcPr>
            <w:tcW w:w="2268" w:type="dxa"/>
            <w:noWrap/>
          </w:tcPr>
          <w:p w14:paraId="4DDE5822" w14:textId="0BBDE610" w:rsidR="007F45EF" w:rsidRPr="00213857" w:rsidRDefault="00190935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9" w:type="dxa"/>
            <w:noWrap/>
          </w:tcPr>
          <w:p w14:paraId="65E7EBD6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5C23804F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3A6DB3F1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1D9CFB05" w14:textId="5D2087B4" w:rsidR="007F45EF" w:rsidRPr="00963E11" w:rsidRDefault="00190935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9" w:type="dxa"/>
            <w:noWrap/>
          </w:tcPr>
          <w:p w14:paraId="2A56B9D2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885B57" w14:paraId="2C145EBC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8FE3A6D" w14:textId="77777777" w:rsidR="007F45EF" w:rsidRPr="00885B57" w:rsidRDefault="007F45EF" w:rsidP="006A1094">
            <w:pPr>
              <w:tabs>
                <w:tab w:val="right" w:pos="11970"/>
              </w:tabs>
              <w:rPr>
                <w:color w:val="auto"/>
              </w:rPr>
            </w:pPr>
            <w:r w:rsidRPr="00885B57">
              <w:rPr>
                <w:color w:val="auto"/>
              </w:rPr>
              <w:t>Management Companies (Apartment Blocks)</w:t>
            </w:r>
            <w:r w:rsidRPr="00885B57">
              <w:rPr>
                <w:color w:val="auto"/>
              </w:rPr>
              <w:tab/>
              <w:t>0.2%</w:t>
            </w:r>
          </w:p>
        </w:tc>
      </w:tr>
      <w:tr w:rsidR="007F45EF" w:rsidRPr="00055ADA" w14:paraId="48DABC6A" w14:textId="77777777" w:rsidTr="0019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248324CC" w14:textId="77777777" w:rsidR="007F45EF" w:rsidRPr="00963E11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Management Companies (Apartment Blocks)</w:t>
            </w:r>
          </w:p>
        </w:tc>
        <w:tc>
          <w:tcPr>
            <w:tcW w:w="2268" w:type="dxa"/>
            <w:shd w:val="clear" w:color="auto" w:fill="DFECEB" w:themeFill="accent6" w:themeFillTint="33"/>
            <w:noWrap/>
          </w:tcPr>
          <w:p w14:paraId="5627590F" w14:textId="21373CB0" w:rsidR="007F45EF" w:rsidRPr="00213857" w:rsidRDefault="00190935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9" w:type="dxa"/>
            <w:shd w:val="clear" w:color="auto" w:fill="DFECEB" w:themeFill="accent6" w:themeFillTint="33"/>
            <w:noWrap/>
          </w:tcPr>
          <w:p w14:paraId="3E908212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43D166D0" w14:textId="77777777" w:rsidTr="006A109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0A7AFA1D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C0DAD8" w:themeFill="accent6" w:themeFillTint="66"/>
            <w:noWrap/>
          </w:tcPr>
          <w:p w14:paraId="2AD9E894" w14:textId="0CCE0E6C" w:rsidR="007F45EF" w:rsidRPr="00963E11" w:rsidRDefault="00190935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9" w:type="dxa"/>
            <w:shd w:val="clear" w:color="auto" w:fill="C0DAD8" w:themeFill="accent6" w:themeFillTint="66"/>
            <w:noWrap/>
          </w:tcPr>
          <w:p w14:paraId="04BC3888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E506C9" w14:paraId="74FC632C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noWrap/>
          </w:tcPr>
          <w:p w14:paraId="5362163F" w14:textId="7C6500E8" w:rsidR="007F45EF" w:rsidRPr="00963E11" w:rsidRDefault="007F45EF" w:rsidP="00963E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color w:val="auto"/>
              </w:rPr>
              <w:t>Equality/ Housing Discrimination</w:t>
            </w:r>
            <w:r w:rsidRPr="00963E11">
              <w:rPr>
                <w:color w:val="auto"/>
              </w:rPr>
              <w:tab/>
            </w:r>
            <w:r w:rsidR="00963E11" w:rsidRPr="00963E11">
              <w:rPr>
                <w:color w:val="auto"/>
              </w:rPr>
              <w:t xml:space="preserve">                                    </w:t>
            </w:r>
            <w:r w:rsidR="00963E11">
              <w:rPr>
                <w:color w:val="auto"/>
              </w:rPr>
              <w:t xml:space="preserve">        </w:t>
            </w:r>
            <w:r w:rsidR="00963E11" w:rsidRPr="00963E11">
              <w:rPr>
                <w:color w:val="auto"/>
              </w:rPr>
              <w:t xml:space="preserve">                                            </w:t>
            </w:r>
            <w:r w:rsidRPr="00963E11">
              <w:rPr>
                <w:color w:val="auto"/>
              </w:rPr>
              <w:t>0.</w:t>
            </w:r>
            <w:r w:rsidR="00190935" w:rsidRPr="00963E11">
              <w:rPr>
                <w:color w:val="auto"/>
              </w:rPr>
              <w:t>2</w:t>
            </w:r>
            <w:r w:rsidRPr="00963E11">
              <w:rPr>
                <w:color w:val="auto"/>
              </w:rPr>
              <w:t>%</w:t>
            </w:r>
          </w:p>
        </w:tc>
      </w:tr>
      <w:tr w:rsidR="007F45EF" w:rsidRPr="00055ADA" w14:paraId="19DDE7B3" w14:textId="77777777" w:rsidTr="00190935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FECEB" w:themeFill="accent6" w:themeFillTint="33"/>
            <w:noWrap/>
          </w:tcPr>
          <w:p w14:paraId="11758B98" w14:textId="77777777" w:rsidR="007F45EF" w:rsidRPr="00963E11" w:rsidRDefault="007F45EF" w:rsidP="006A109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Equality/ Housing Discrimination</w:t>
            </w:r>
          </w:p>
        </w:tc>
        <w:tc>
          <w:tcPr>
            <w:tcW w:w="2268" w:type="dxa"/>
            <w:noWrap/>
          </w:tcPr>
          <w:p w14:paraId="6578FC64" w14:textId="73651981" w:rsidR="007F45EF" w:rsidRPr="00213857" w:rsidRDefault="00190935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3857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9" w:type="dxa"/>
            <w:noWrap/>
          </w:tcPr>
          <w:p w14:paraId="6D776EAD" w14:textId="77777777" w:rsidR="007F45EF" w:rsidRPr="00963E11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45EF" w:rsidRPr="00E506C9" w14:paraId="43356064" w14:textId="77777777" w:rsidTr="006A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C0DAD8" w:themeFill="accent6" w:themeFillTint="66"/>
            <w:noWrap/>
          </w:tcPr>
          <w:p w14:paraId="710E7373" w14:textId="77777777" w:rsidR="007F45EF" w:rsidRPr="00963E11" w:rsidRDefault="007F45EF" w:rsidP="006A10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noWrap/>
          </w:tcPr>
          <w:p w14:paraId="526FF02C" w14:textId="6CF4BF02" w:rsidR="007F45EF" w:rsidRPr="00963E11" w:rsidRDefault="00190935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9" w:type="dxa"/>
            <w:noWrap/>
          </w:tcPr>
          <w:p w14:paraId="2B5DA951" w14:textId="77777777" w:rsidR="007F45EF" w:rsidRPr="00963E11" w:rsidRDefault="007F45EF" w:rsidP="006A10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7F45EF" w:rsidRPr="00E506C9" w14:paraId="1E3DDBFE" w14:textId="77777777" w:rsidTr="006A109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71BFBF9B" w14:textId="77777777" w:rsidR="007F45EF" w:rsidRPr="00E506C9" w:rsidRDefault="007F45EF" w:rsidP="006A1094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885B57">
              <w:rPr>
                <w:color w:val="auto"/>
              </w:rPr>
              <w:t>Total Housing Queries</w:t>
            </w:r>
          </w:p>
        </w:tc>
        <w:tc>
          <w:tcPr>
            <w:tcW w:w="2268" w:type="dxa"/>
            <w:shd w:val="clear" w:color="auto" w:fill="62A39F" w:themeFill="accent6"/>
            <w:noWrap/>
            <w:hideMark/>
          </w:tcPr>
          <w:p w14:paraId="642690FF" w14:textId="1CAAFCD3" w:rsidR="007F45EF" w:rsidRPr="00E506C9" w:rsidRDefault="00190935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F45E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,270</w:t>
            </w:r>
          </w:p>
        </w:tc>
        <w:tc>
          <w:tcPr>
            <w:tcW w:w="3119" w:type="dxa"/>
            <w:shd w:val="clear" w:color="auto" w:fill="62A39F" w:themeFill="accent6"/>
            <w:noWrap/>
          </w:tcPr>
          <w:p w14:paraId="369571DC" w14:textId="77777777" w:rsidR="007F45EF" w:rsidRPr="00E506C9" w:rsidRDefault="007F45EF" w:rsidP="006A10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9D61439" w14:textId="22EC5857" w:rsidR="00676E98" w:rsidRDefault="00676E98" w:rsidP="00A953B5">
      <w:pPr>
        <w:jc w:val="both"/>
        <w:rPr>
          <w:sz w:val="20"/>
          <w:szCs w:val="20"/>
        </w:rPr>
        <w:sectPr w:rsidR="00676E98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159FB9B1" w14:textId="4B280D55" w:rsidR="002846A0" w:rsidRPr="002846A0" w:rsidRDefault="002846A0" w:rsidP="00D065B1">
      <w:pPr>
        <w:pStyle w:val="Heading2"/>
        <w:rPr>
          <w:sz w:val="22"/>
          <w:szCs w:val="22"/>
        </w:rPr>
      </w:pPr>
      <w:r w:rsidRPr="002846A0">
        <w:lastRenderedPageBreak/>
        <w:t>Health Query Trends in Q3 2024</w:t>
      </w:r>
    </w:p>
    <w:p w14:paraId="0E67C01F" w14:textId="3C601647" w:rsidR="00942712" w:rsidRPr="00297D8F" w:rsidRDefault="00942712" w:rsidP="007203C4">
      <w:pPr>
        <w:jc w:val="both"/>
        <w:rPr>
          <w:sz w:val="22"/>
          <w:szCs w:val="22"/>
        </w:rPr>
      </w:pPr>
      <w:r w:rsidRPr="00297D8F">
        <w:rPr>
          <w:b/>
          <w:sz w:val="22"/>
          <w:szCs w:val="22"/>
        </w:rPr>
        <w:t xml:space="preserve">Table </w:t>
      </w:r>
      <w:r w:rsidR="000F47A6" w:rsidRPr="00297D8F">
        <w:rPr>
          <w:b/>
          <w:sz w:val="22"/>
          <w:szCs w:val="22"/>
        </w:rPr>
        <w:t>1</w:t>
      </w:r>
      <w:r w:rsidR="00EE6517" w:rsidRPr="00297D8F">
        <w:rPr>
          <w:b/>
          <w:sz w:val="22"/>
          <w:szCs w:val="22"/>
        </w:rPr>
        <w:t>2</w:t>
      </w:r>
      <w:r w:rsidRPr="00297D8F">
        <w:rPr>
          <w:sz w:val="22"/>
          <w:szCs w:val="22"/>
        </w:rPr>
        <w:t xml:space="preserve"> sets out the </w:t>
      </w:r>
      <w:r w:rsidRPr="00297D8F">
        <w:rPr>
          <w:b/>
          <w:sz w:val="22"/>
          <w:szCs w:val="22"/>
        </w:rPr>
        <w:t xml:space="preserve">Health </w:t>
      </w:r>
      <w:r w:rsidRPr="00297D8F">
        <w:rPr>
          <w:sz w:val="22"/>
          <w:szCs w:val="22"/>
        </w:rPr>
        <w:t xml:space="preserve">query dataset for Quarter </w:t>
      </w:r>
      <w:r w:rsidR="00297D8F" w:rsidRPr="00297D8F">
        <w:rPr>
          <w:sz w:val="22"/>
          <w:szCs w:val="22"/>
        </w:rPr>
        <w:t>4</w:t>
      </w:r>
      <w:r w:rsidRPr="00297D8F">
        <w:rPr>
          <w:sz w:val="22"/>
          <w:szCs w:val="22"/>
        </w:rPr>
        <w:t>, 202</w:t>
      </w:r>
      <w:r w:rsidR="00270616" w:rsidRPr="00297D8F">
        <w:rPr>
          <w:sz w:val="22"/>
          <w:szCs w:val="22"/>
        </w:rPr>
        <w:t>4</w:t>
      </w:r>
      <w:r w:rsidRPr="00297D8F">
        <w:rPr>
          <w:sz w:val="22"/>
          <w:szCs w:val="22"/>
        </w:rPr>
        <w:t>.</w:t>
      </w:r>
      <w:r w:rsidR="009C71D3" w:rsidRPr="00297D8F">
        <w:rPr>
          <w:sz w:val="22"/>
          <w:szCs w:val="22"/>
        </w:rPr>
        <w:t xml:space="preserve"> Health queries </w:t>
      </w:r>
      <w:r w:rsidR="00270616" w:rsidRPr="00297D8F">
        <w:rPr>
          <w:sz w:val="22"/>
          <w:szCs w:val="22"/>
        </w:rPr>
        <w:t>in</w:t>
      </w:r>
      <w:r w:rsidR="009C71D3" w:rsidRPr="00297D8F">
        <w:rPr>
          <w:sz w:val="22"/>
          <w:szCs w:val="22"/>
        </w:rPr>
        <w:t xml:space="preserve">creased by </w:t>
      </w:r>
      <w:r w:rsidR="00297D8F" w:rsidRPr="00297D8F">
        <w:rPr>
          <w:sz w:val="22"/>
          <w:szCs w:val="22"/>
        </w:rPr>
        <w:t>3.7</w:t>
      </w:r>
      <w:r w:rsidR="009C71D3" w:rsidRPr="00297D8F">
        <w:rPr>
          <w:sz w:val="22"/>
          <w:szCs w:val="22"/>
        </w:rPr>
        <w:t>%</w:t>
      </w:r>
      <w:r w:rsidR="00297D8F" w:rsidRPr="00297D8F">
        <w:rPr>
          <w:sz w:val="22"/>
          <w:szCs w:val="22"/>
        </w:rPr>
        <w:t>.</w:t>
      </w:r>
    </w:p>
    <w:p w14:paraId="7E9A69F3" w14:textId="5C727E1B" w:rsidR="0002338D" w:rsidRDefault="00F7547D" w:rsidP="00213857">
      <w:pPr>
        <w:pStyle w:val="ListParagraph"/>
        <w:jc w:val="both"/>
      </w:pPr>
      <w:r w:rsidRPr="00297D8F">
        <w:t xml:space="preserve">Medical Card queries continue to be the most </w:t>
      </w:r>
      <w:r w:rsidR="00EA08E0" w:rsidRPr="00297D8F">
        <w:t xml:space="preserve">queried sub-category under health and account for </w:t>
      </w:r>
      <w:r w:rsidR="00297D8F" w:rsidRPr="00297D8F">
        <w:t xml:space="preserve">around </w:t>
      </w:r>
      <w:r w:rsidR="00EA08E0" w:rsidRPr="00297D8F">
        <w:t>60% of queries</w:t>
      </w:r>
      <w:r w:rsidR="00297D8F" w:rsidRPr="00297D8F">
        <w:t>.</w:t>
      </w:r>
    </w:p>
    <w:p w14:paraId="0E650D83" w14:textId="7A28140E" w:rsidR="003406AA" w:rsidRDefault="003406AA" w:rsidP="00213857">
      <w:pPr>
        <w:pStyle w:val="ListParagraph"/>
        <w:jc w:val="both"/>
      </w:pPr>
      <w:r>
        <w:t xml:space="preserve">Medical </w:t>
      </w:r>
      <w:r w:rsidR="00E1049F">
        <w:t xml:space="preserve">Card </w:t>
      </w:r>
      <w:r>
        <w:t>queries decreased by 3.1%.</w:t>
      </w:r>
    </w:p>
    <w:p w14:paraId="2E1F5511" w14:textId="2EB306A9" w:rsidR="003406AA" w:rsidRPr="00297D8F" w:rsidRDefault="003406AA" w:rsidP="00213857">
      <w:pPr>
        <w:pStyle w:val="ListParagraph"/>
        <w:jc w:val="both"/>
      </w:pPr>
      <w:r>
        <w:t>GP Visit Card was a sub-category that was only introduced in the beginning of 2024 and is now the second most queried area under Health.</w:t>
      </w:r>
    </w:p>
    <w:p w14:paraId="6C5DCF5C" w14:textId="3CF19417" w:rsidR="002E1F5F" w:rsidRPr="001E60A9" w:rsidRDefault="0002338D" w:rsidP="00213857">
      <w:pPr>
        <w:pStyle w:val="ListParagraph"/>
        <w:jc w:val="both"/>
        <w:rPr>
          <w:b/>
          <w:bCs w:val="0"/>
        </w:rPr>
      </w:pPr>
      <w:r w:rsidRPr="001E60A9">
        <w:rPr>
          <w:b/>
          <w:bCs w:val="0"/>
        </w:rPr>
        <w:t>Fair Deal &amp; Home Care Package queries increased by 6</w:t>
      </w:r>
      <w:r w:rsidR="003406AA" w:rsidRPr="001E60A9">
        <w:rPr>
          <w:b/>
          <w:bCs w:val="0"/>
        </w:rPr>
        <w:t>.0</w:t>
      </w:r>
      <w:r w:rsidRPr="001E60A9">
        <w:rPr>
          <w:b/>
          <w:bCs w:val="0"/>
        </w:rPr>
        <w:t>%</w:t>
      </w:r>
      <w:r w:rsidR="003406AA" w:rsidRPr="001E60A9">
        <w:rPr>
          <w:b/>
          <w:bCs w:val="0"/>
        </w:rPr>
        <w:t>.</w:t>
      </w:r>
    </w:p>
    <w:p w14:paraId="547C40A1" w14:textId="503F7E9F" w:rsidR="00130FF9" w:rsidRPr="001E60A9" w:rsidRDefault="002E1F5F" w:rsidP="00213857">
      <w:pPr>
        <w:pStyle w:val="ListParagraph"/>
        <w:jc w:val="both"/>
        <w:rPr>
          <w:b/>
          <w:bCs w:val="0"/>
        </w:rPr>
      </w:pPr>
      <w:r w:rsidRPr="001E60A9">
        <w:rPr>
          <w:b/>
          <w:bCs w:val="0"/>
        </w:rPr>
        <w:t xml:space="preserve">Drugs/Medicines queries increased by </w:t>
      </w:r>
      <w:r w:rsidR="003406AA" w:rsidRPr="001E60A9">
        <w:rPr>
          <w:b/>
          <w:bCs w:val="0"/>
        </w:rPr>
        <w:t>28.2%.</w:t>
      </w:r>
    </w:p>
    <w:p w14:paraId="3014F665" w14:textId="0C02DC28" w:rsidR="00130FF9" w:rsidRPr="003406AA" w:rsidRDefault="00130FF9" w:rsidP="00213857">
      <w:pPr>
        <w:pStyle w:val="ListParagraph"/>
        <w:jc w:val="both"/>
      </w:pPr>
      <w:r w:rsidRPr="003406AA">
        <w:t xml:space="preserve">GP Services decreased by </w:t>
      </w:r>
      <w:r w:rsidR="003406AA" w:rsidRPr="003406AA">
        <w:t>46.8%.</w:t>
      </w:r>
      <w:r w:rsidR="00E1049F">
        <w:t xml:space="preserve"> (It is likely that this </w:t>
      </w:r>
      <w:r w:rsidR="00C05ABE">
        <w:t>is related</w:t>
      </w:r>
      <w:r w:rsidR="00E1049F">
        <w:t xml:space="preserve"> to the new sub-category of ‘GP Visit Card’.)</w:t>
      </w:r>
    </w:p>
    <w:p w14:paraId="7D34DFE2" w14:textId="3D48D091" w:rsidR="00D83F0B" w:rsidRPr="00190935" w:rsidRDefault="00D83F0B" w:rsidP="00D065B1">
      <w:pPr>
        <w:pStyle w:val="Heading2"/>
        <w:rPr>
          <w:highlight w:val="yellow"/>
        </w:rPr>
      </w:pPr>
    </w:p>
    <w:p w14:paraId="1F65516E" w14:textId="39491E2C" w:rsidR="003C67A3" w:rsidRPr="009937A9" w:rsidRDefault="00835A7F" w:rsidP="009937A9">
      <w:pPr>
        <w:pStyle w:val="Heading2"/>
        <w:rPr>
          <w:bCs/>
          <w:color w:val="1481AB" w:themeColor="accent1" w:themeShade="BF"/>
          <w:highlight w:val="yellow"/>
        </w:rPr>
      </w:pPr>
      <w:r w:rsidRPr="003406AA">
        <w:rPr>
          <w:bCs/>
          <w:color w:val="1481AB" w:themeColor="accent1" w:themeShade="BF"/>
        </w:rPr>
        <w:t xml:space="preserve">Caller profile </w:t>
      </w:r>
      <w:r w:rsidR="003406AA" w:rsidRPr="003406AA">
        <w:rPr>
          <w:bCs/>
          <w:color w:val="1481AB" w:themeColor="accent1" w:themeShade="BF"/>
        </w:rPr>
        <w:t xml:space="preserve">data </w:t>
      </w:r>
      <w:r w:rsidRPr="003406AA">
        <w:rPr>
          <w:bCs/>
          <w:color w:val="1481AB" w:themeColor="accent1" w:themeShade="BF"/>
        </w:rPr>
        <w:t>relating to Health</w:t>
      </w:r>
    </w:p>
    <w:p w14:paraId="7ACE92AE" w14:textId="1FE841A5" w:rsidR="00417A27" w:rsidRPr="003C67A3" w:rsidRDefault="00B41908" w:rsidP="00213857">
      <w:pPr>
        <w:pStyle w:val="ListParagraph"/>
        <w:jc w:val="both"/>
      </w:pPr>
      <w:r w:rsidRPr="003C67A3">
        <w:t>3</w:t>
      </w:r>
      <w:r w:rsidR="003C67A3" w:rsidRPr="003C67A3">
        <w:t>8.3</w:t>
      </w:r>
      <w:r w:rsidRPr="003C67A3">
        <w:t xml:space="preserve">% of Health </w:t>
      </w:r>
      <w:r w:rsidR="00423F96" w:rsidRPr="003C67A3">
        <w:t>call</w:t>
      </w:r>
      <w:r w:rsidRPr="003C67A3">
        <w:t>e</w:t>
      </w:r>
      <w:r w:rsidR="00423F96" w:rsidRPr="003C67A3">
        <w:t>r</w:t>
      </w:r>
      <w:r w:rsidRPr="003C67A3">
        <w:t>s came from</w:t>
      </w:r>
      <w:r w:rsidR="00BE76F8" w:rsidRPr="003C67A3">
        <w:t xml:space="preserve"> </w:t>
      </w:r>
      <w:r w:rsidR="009C7B88" w:rsidRPr="003C67A3">
        <w:t>the 46</w:t>
      </w:r>
      <w:r w:rsidR="00BE76F8" w:rsidRPr="003C67A3">
        <w:t>-65 age group</w:t>
      </w:r>
      <w:r w:rsidR="00E1049F">
        <w:t>,</w:t>
      </w:r>
      <w:r w:rsidR="00E1049F" w:rsidRPr="003C67A3">
        <w:t xml:space="preserve"> </w:t>
      </w:r>
      <w:r w:rsidR="003C67A3" w:rsidRPr="003C67A3">
        <w:t>29.3</w:t>
      </w:r>
      <w:r w:rsidR="00423F96" w:rsidRPr="003C67A3">
        <w:t xml:space="preserve">% </w:t>
      </w:r>
      <w:r w:rsidR="00E1049F">
        <w:t>were aged</w:t>
      </w:r>
      <w:r w:rsidR="00423F96" w:rsidRPr="003C67A3">
        <w:t xml:space="preserve"> </w:t>
      </w:r>
      <w:r w:rsidR="009E1A25" w:rsidRPr="003C67A3">
        <w:t>26-45 and 2</w:t>
      </w:r>
      <w:r w:rsidR="003C67A3" w:rsidRPr="003C67A3">
        <w:t>9.2</w:t>
      </w:r>
      <w:r w:rsidR="009E1A25" w:rsidRPr="003C67A3">
        <w:t xml:space="preserve">% </w:t>
      </w:r>
      <w:r w:rsidR="00860A5D" w:rsidRPr="003C67A3">
        <w:t>were aged 66 and over.</w:t>
      </w:r>
    </w:p>
    <w:p w14:paraId="04F23D00" w14:textId="27003C8B" w:rsidR="00417A27" w:rsidRDefault="00417A27" w:rsidP="00213857">
      <w:pPr>
        <w:pStyle w:val="ListParagraph"/>
        <w:jc w:val="both"/>
      </w:pPr>
      <w:r w:rsidRPr="009937A9">
        <w:t>3</w:t>
      </w:r>
      <w:r w:rsidR="009937A9" w:rsidRPr="009937A9">
        <w:t>6.6</w:t>
      </w:r>
      <w:r w:rsidRPr="009937A9">
        <w:t xml:space="preserve">% of </w:t>
      </w:r>
      <w:r w:rsidR="00E71DC8" w:rsidRPr="009937A9">
        <w:t>callers</w:t>
      </w:r>
      <w:r w:rsidRPr="009937A9">
        <w:t xml:space="preserve"> </w:t>
      </w:r>
      <w:r w:rsidR="00E1049F">
        <w:t>with Medical Card queries were aged</w:t>
      </w:r>
      <w:r w:rsidRPr="009937A9">
        <w:t xml:space="preserve"> 46-65, 3</w:t>
      </w:r>
      <w:r w:rsidR="009937A9" w:rsidRPr="009937A9">
        <w:t>1.1</w:t>
      </w:r>
      <w:r w:rsidRPr="009937A9">
        <w:t xml:space="preserve">% </w:t>
      </w:r>
      <w:r w:rsidR="00E1049F">
        <w:t>were aged</w:t>
      </w:r>
      <w:r w:rsidR="00E1049F" w:rsidRPr="009937A9">
        <w:t xml:space="preserve"> </w:t>
      </w:r>
      <w:r w:rsidRPr="009937A9">
        <w:t xml:space="preserve">26-45, </w:t>
      </w:r>
      <w:r w:rsidR="00E1049F">
        <w:t xml:space="preserve">and </w:t>
      </w:r>
      <w:r w:rsidRPr="009937A9">
        <w:t>2</w:t>
      </w:r>
      <w:r w:rsidR="009937A9" w:rsidRPr="009937A9">
        <w:t>8.3</w:t>
      </w:r>
      <w:r w:rsidRPr="009937A9">
        <w:t xml:space="preserve">% </w:t>
      </w:r>
      <w:r w:rsidR="00E1049F">
        <w:t>were aged 66+</w:t>
      </w:r>
      <w:r w:rsidRPr="009937A9">
        <w:t>.</w:t>
      </w:r>
    </w:p>
    <w:p w14:paraId="2BF62831" w14:textId="3F4F2672" w:rsidR="009937A9" w:rsidRDefault="009937A9" w:rsidP="00213857">
      <w:pPr>
        <w:pStyle w:val="ListParagraph"/>
        <w:jc w:val="both"/>
      </w:pPr>
      <w:r>
        <w:t xml:space="preserve">42.4% of </w:t>
      </w:r>
      <w:r w:rsidR="00E1049F">
        <w:t xml:space="preserve">callers enquiring about </w:t>
      </w:r>
      <w:r>
        <w:t xml:space="preserve">GP Services </w:t>
      </w:r>
      <w:r w:rsidR="00E1049F">
        <w:t>were aged 46-65</w:t>
      </w:r>
      <w:r>
        <w:t>, followed by 26-45s who accounted for 40.0%.</w:t>
      </w:r>
    </w:p>
    <w:p w14:paraId="75FEC1E1" w14:textId="6A7ADD78" w:rsidR="00417A27" w:rsidRDefault="009937A9" w:rsidP="00213857">
      <w:pPr>
        <w:pStyle w:val="ListParagraph"/>
        <w:jc w:val="both"/>
      </w:pPr>
      <w:r>
        <w:t xml:space="preserve">45.2% </w:t>
      </w:r>
      <w:r w:rsidR="00417A27" w:rsidRPr="009937A9">
        <w:t xml:space="preserve">of Fair Deal and Home Care Packages calls came from </w:t>
      </w:r>
      <w:r w:rsidR="00E1049F">
        <w:t>people aged</w:t>
      </w:r>
      <w:r w:rsidR="00E1049F" w:rsidRPr="009937A9">
        <w:t xml:space="preserve"> </w:t>
      </w:r>
      <w:r w:rsidRPr="009937A9">
        <w:t>66 and over</w:t>
      </w:r>
      <w:r w:rsidR="00417A27" w:rsidRPr="009937A9">
        <w:t xml:space="preserve">, followed by </w:t>
      </w:r>
      <w:r w:rsidR="00E1049F">
        <w:t xml:space="preserve">those aged </w:t>
      </w:r>
      <w:r>
        <w:t>46-</w:t>
      </w:r>
      <w:r w:rsidR="00E1049F">
        <w:t xml:space="preserve">65, who </w:t>
      </w:r>
      <w:r>
        <w:t>made up 44.9%.</w:t>
      </w:r>
    </w:p>
    <w:p w14:paraId="700FEC5B" w14:textId="6B29A8F7" w:rsidR="009937A9" w:rsidRDefault="009937A9" w:rsidP="00213857">
      <w:pPr>
        <w:pStyle w:val="ListParagraph"/>
        <w:jc w:val="both"/>
      </w:pPr>
      <w:r>
        <w:t xml:space="preserve">54.6% of </w:t>
      </w:r>
      <w:r w:rsidR="00E1049F">
        <w:t>people with health-related queries were</w:t>
      </w:r>
      <w:r>
        <w:t xml:space="preserve"> </w:t>
      </w:r>
      <w:r w:rsidR="00E1049F">
        <w:t xml:space="preserve">female and </w:t>
      </w:r>
      <w:r>
        <w:t xml:space="preserve">36.7% </w:t>
      </w:r>
      <w:r w:rsidR="00E1049F">
        <w:t>male</w:t>
      </w:r>
      <w:r>
        <w:t>.</w:t>
      </w:r>
    </w:p>
    <w:p w14:paraId="08542A0F" w14:textId="64BAF23C" w:rsidR="009937A9" w:rsidRDefault="009937A9" w:rsidP="00213857">
      <w:pPr>
        <w:pStyle w:val="ListParagraph"/>
        <w:jc w:val="both"/>
      </w:pPr>
      <w:r>
        <w:t xml:space="preserve">39.1% of </w:t>
      </w:r>
      <w:r w:rsidR="00E1049F">
        <w:t xml:space="preserve">interactions </w:t>
      </w:r>
      <w:r>
        <w:t xml:space="preserve">lasted 10 minutes and </w:t>
      </w:r>
      <w:r w:rsidR="00C05ABE">
        <w:t>under</w:t>
      </w:r>
      <w:r>
        <w:t xml:space="preserve"> 37.0% of calls were 11-20 minutes</w:t>
      </w:r>
      <w:r w:rsidR="00E1049F">
        <w:t xml:space="preserve"> and </w:t>
      </w:r>
      <w:r>
        <w:t>19.6% were 21-40 minutes.</w:t>
      </w:r>
    </w:p>
    <w:p w14:paraId="4A7C4C51" w14:textId="0CDF2354" w:rsidR="009937A9" w:rsidRPr="009937A9" w:rsidRDefault="009937A9" w:rsidP="00213857">
      <w:pPr>
        <w:pStyle w:val="ListParagraph"/>
        <w:jc w:val="both"/>
      </w:pPr>
      <w:r>
        <w:t xml:space="preserve">78.4% of </w:t>
      </w:r>
      <w:r w:rsidR="00E1049F">
        <w:t>callers in this category named</w:t>
      </w:r>
      <w:r>
        <w:t xml:space="preserve"> Ireland</w:t>
      </w:r>
      <w:r w:rsidR="00E1049F">
        <w:t xml:space="preserve"> as their country of origin</w:t>
      </w:r>
      <w:r>
        <w:t xml:space="preserve"> 14.1% of callers</w:t>
      </w:r>
      <w:r w:rsidR="00E1049F">
        <w:t>’</w:t>
      </w:r>
      <w:r>
        <w:t xml:space="preserve"> country of origin was non-EU and 7.5% were </w:t>
      </w:r>
      <w:r w:rsidR="00E1049F">
        <w:t xml:space="preserve">from the </w:t>
      </w:r>
      <w:r>
        <w:t>EU (excluding Ireland)</w:t>
      </w:r>
      <w:r w:rsidR="00876BF1">
        <w:t>.</w:t>
      </w:r>
    </w:p>
    <w:p w14:paraId="22FC1875" w14:textId="30ECC445" w:rsidR="00125B60" w:rsidRPr="00417A27" w:rsidRDefault="00125B60" w:rsidP="00FA7285">
      <w:pPr>
        <w:pStyle w:val="ListParagraph"/>
        <w:rPr>
          <w:rFonts w:eastAsiaTheme="majorEastAsia" w:cstheme="majorBidi"/>
          <w:color w:val="1481AB" w:themeColor="accent1" w:themeShade="BF"/>
        </w:rPr>
      </w:pPr>
      <w:r w:rsidRPr="00417A27">
        <w:br w:type="page"/>
      </w:r>
    </w:p>
    <w:p w14:paraId="5442B6A8" w14:textId="77777777" w:rsidR="00125B60" w:rsidRDefault="00125B60" w:rsidP="00942712">
      <w:pPr>
        <w:pStyle w:val="Heading1"/>
        <w:rPr>
          <w:rFonts w:ascii="Tw Cen MT Condensed" w:hAnsi="Tw Cen MT Condensed"/>
          <w:b/>
          <w:sz w:val="24"/>
          <w:szCs w:val="24"/>
        </w:rPr>
        <w:sectPr w:rsidR="00125B60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2BA6F5B1" w14:textId="11761C86" w:rsidR="00942712" w:rsidRDefault="00942712" w:rsidP="00D065B1">
      <w:pPr>
        <w:pStyle w:val="Heading3"/>
      </w:pPr>
      <w:bookmarkStart w:id="1" w:name="_Hlk192748609"/>
      <w:r w:rsidRPr="00D065B1">
        <w:lastRenderedPageBreak/>
        <w:t xml:space="preserve">Table </w:t>
      </w:r>
      <w:r w:rsidR="000F47A6" w:rsidRPr="00D065B1">
        <w:t>1</w:t>
      </w:r>
      <w:r w:rsidR="00EE6517" w:rsidRPr="00D065B1">
        <w:t>2</w:t>
      </w:r>
      <w:r w:rsidRPr="00D065B1">
        <w:t xml:space="preserve"> - Health Query Breakdown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7F45EF" w:rsidRPr="002D05F5" w14:paraId="23C3D652" w14:textId="77777777" w:rsidTr="006A1094">
        <w:trPr>
          <w:trHeight w:val="283"/>
        </w:trPr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629DBF75" w14:textId="77777777" w:rsidR="007F45EF" w:rsidRPr="002D05F5" w:rsidRDefault="007F45EF" w:rsidP="00DA342C">
            <w:pPr>
              <w:spacing w:after="0" w:line="240" w:lineRule="auto"/>
            </w:pPr>
            <w:r w:rsidRPr="002D05F5">
              <w:rPr>
                <w:b/>
                <w:bCs/>
              </w:rPr>
              <w:t>Subcategory Breakdown</w:t>
            </w:r>
          </w:p>
        </w:tc>
        <w:tc>
          <w:tcPr>
            <w:tcW w:w="255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hideMark/>
          </w:tcPr>
          <w:p w14:paraId="58C6C557" w14:textId="77777777" w:rsidR="007F45EF" w:rsidRPr="002D05F5" w:rsidRDefault="007F45EF" w:rsidP="00DA342C">
            <w:pPr>
              <w:spacing w:after="0" w:line="240" w:lineRule="auto"/>
              <w:jc w:val="right"/>
            </w:pPr>
            <w:r w:rsidRPr="002D05F5">
              <w:rPr>
                <w:b/>
                <w:bCs/>
              </w:rPr>
              <w:t># of Queries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hideMark/>
          </w:tcPr>
          <w:p w14:paraId="3E3F76F8" w14:textId="5FA1B752" w:rsidR="007F45EF" w:rsidRPr="002D05F5" w:rsidRDefault="007F45EF" w:rsidP="00DA342C">
            <w:pPr>
              <w:spacing w:after="0" w:line="240" w:lineRule="auto"/>
              <w:jc w:val="right"/>
            </w:pPr>
            <w:r w:rsidRPr="002D05F5">
              <w:rPr>
                <w:b/>
                <w:bCs/>
              </w:rPr>
              <w:t xml:space="preserve">% of </w:t>
            </w:r>
            <w:r>
              <w:rPr>
                <w:b/>
                <w:bCs/>
              </w:rPr>
              <w:t>Subcategory</w:t>
            </w:r>
          </w:p>
        </w:tc>
      </w:tr>
      <w:tr w:rsidR="007F45EF" w:rsidRPr="00D065B1" w14:paraId="2348D7D1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E4BCDD6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2485A0" w14:textId="1E5ED394" w:rsidR="007F45EF" w:rsidRPr="00DA342C" w:rsidRDefault="00F46AA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8,143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272F28" w14:textId="5388A7C3" w:rsidR="007F45EF" w:rsidRPr="00DA342C" w:rsidRDefault="007F45EF" w:rsidP="00B705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B70538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59.8%</w:t>
            </w:r>
          </w:p>
        </w:tc>
      </w:tr>
      <w:tr w:rsidR="00F46AAE" w:rsidRPr="00D065B1" w14:paraId="2EB9299A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C33CAEA" w14:textId="0AECBDC3" w:rsidR="00F46AAE" w:rsidRPr="00DA342C" w:rsidRDefault="00F46AAE" w:rsidP="00F46AA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 xml:space="preserve">GP Visit Card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9FC5850" w14:textId="73C00AE4" w:rsidR="00F46AAE" w:rsidRPr="00DA342C" w:rsidRDefault="00F46AAE" w:rsidP="00F46AA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0D4CC93" w14:textId="7EE348E4" w:rsidR="00F46AAE" w:rsidRPr="00DA342C" w:rsidRDefault="00B70538" w:rsidP="00B705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6.3%</w:t>
            </w:r>
          </w:p>
        </w:tc>
      </w:tr>
      <w:tr w:rsidR="007F45EF" w:rsidRPr="00D065B1" w14:paraId="3F054333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F128045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3CFA9F0" w14:textId="203890BB" w:rsidR="007F45EF" w:rsidRPr="00DA342C" w:rsidRDefault="00F46AA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70B731FA" w14:textId="29164AF8" w:rsidR="007F45EF" w:rsidRPr="00DA342C" w:rsidRDefault="007F45EF" w:rsidP="00B705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B70538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5.8%</w:t>
            </w:r>
          </w:p>
        </w:tc>
      </w:tr>
      <w:tr w:rsidR="007F45EF" w:rsidRPr="00D065B1" w14:paraId="5A9C05A9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EC6D301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C99A3E7" w14:textId="05017625" w:rsidR="007F45EF" w:rsidRPr="00DA342C" w:rsidRDefault="00F46AA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D31CD40" w14:textId="68F125E4" w:rsidR="007F45EF" w:rsidRPr="00DA342C" w:rsidRDefault="007F45EF" w:rsidP="00B705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B70538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4.7%</w:t>
            </w:r>
          </w:p>
        </w:tc>
      </w:tr>
      <w:tr w:rsidR="0040086E" w:rsidRPr="00D065B1" w14:paraId="57BB1044" w14:textId="77777777" w:rsidTr="0040086E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6A486A9A" w14:textId="34977309" w:rsidR="0040086E" w:rsidRPr="0040086E" w:rsidRDefault="0040086E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40086E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Drugs/ Medicine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772E8E47" w14:textId="4C0558E6" w:rsidR="0040086E" w:rsidRPr="0040086E" w:rsidRDefault="0040086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40086E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0C7C5" w:themeFill="accent6" w:themeFillTint="99"/>
            <w:noWrap/>
            <w:vAlign w:val="center"/>
          </w:tcPr>
          <w:p w14:paraId="50152F0E" w14:textId="6FD25B7E" w:rsidR="0040086E" w:rsidRPr="00DA342C" w:rsidRDefault="0040086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3.5%</w:t>
            </w:r>
          </w:p>
        </w:tc>
      </w:tr>
      <w:tr w:rsidR="007F45EF" w:rsidRPr="00D065B1" w14:paraId="4E421588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7000E00" w14:textId="121B1E88" w:rsidR="007F45EF" w:rsidRPr="00FD41FB" w:rsidRDefault="00DA342C" w:rsidP="006A10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</w:t>
            </w:r>
            <w:r w:rsidR="007F45EF" w:rsidRPr="00FD41FB">
              <w:rPr>
                <w:rFonts w:eastAsia="Times New Roman"/>
                <w:sz w:val="20"/>
                <w:szCs w:val="20"/>
                <w:lang w:eastAsia="en-IE"/>
              </w:rPr>
              <w:t>Drugs Payments Scheme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2825BA7E" w14:textId="6E162F66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4A7038DB" w14:textId="2D2F9378" w:rsidR="007F45EF" w:rsidRPr="00D065B1" w:rsidRDefault="007F45EF" w:rsidP="006A1094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</w:p>
        </w:tc>
      </w:tr>
      <w:tr w:rsidR="007F45EF" w:rsidRPr="00D065B1" w14:paraId="0762B646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5840D26E" w14:textId="356EFBEF" w:rsidR="007F45EF" w:rsidRPr="00FD41FB" w:rsidRDefault="00DA342C" w:rsidP="006A10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-</w:t>
            </w:r>
            <w:r w:rsidR="007F45EF" w:rsidRPr="00FD41FB">
              <w:rPr>
                <w:rFonts w:eastAsia="Times New Roman"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9D59F80" w14:textId="3906136F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i/>
                <w:iCs/>
                <w:sz w:val="20"/>
                <w:szCs w:val="20"/>
                <w:lang w:eastAsia="en-IE"/>
              </w:rPr>
              <w:t>162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354CDAA" w14:textId="740CE163" w:rsidR="007F45EF" w:rsidRPr="00D065B1" w:rsidRDefault="007F45EF" w:rsidP="006A1094">
            <w:pPr>
              <w:spacing w:after="0" w:line="240" w:lineRule="auto"/>
              <w:jc w:val="right"/>
              <w:rPr>
                <w:rFonts w:ascii="Tw Cen MT" w:eastAsia="Times New Roman" w:hAnsi="Tw Cen MT" w:cs="Times New Roman"/>
                <w:sz w:val="20"/>
                <w:szCs w:val="20"/>
                <w:lang w:eastAsia="en-IE"/>
              </w:rPr>
            </w:pPr>
          </w:p>
        </w:tc>
      </w:tr>
      <w:tr w:rsidR="007F45EF" w:rsidRPr="00D065B1" w14:paraId="2F8081AF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60FB93D" w14:textId="09BB6FEF" w:rsidR="007F45EF" w:rsidRPr="00DA342C" w:rsidRDefault="00B70538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04424BCE" w14:textId="77A891FC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7E62CDDD" w14:textId="46F66194" w:rsidR="007F45EF" w:rsidRPr="00DA342C" w:rsidRDefault="007F45EF" w:rsidP="00B705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B70538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3.4%</w:t>
            </w:r>
          </w:p>
        </w:tc>
      </w:tr>
      <w:tr w:rsidR="007F45EF" w:rsidRPr="00D065B1" w14:paraId="36E95DA0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6C2C62C4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7DD5ECF7" w14:textId="672EE2E9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2F0B200" w14:textId="77F917A6" w:rsidR="007F45EF" w:rsidRPr="00DA342C" w:rsidRDefault="00B70538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2.0%</w:t>
            </w:r>
            <w:r w:rsidR="007F45E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7F45EF" w:rsidRPr="00D065B1" w14:paraId="6AEC21E3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C0CD843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D149BF" w14:textId="106292B9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070233" w14:textId="2C9B5F3F" w:rsidR="007F45EF" w:rsidRPr="00DA342C" w:rsidRDefault="00DA342C" w:rsidP="00DA342C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 xml:space="preserve">  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1.8%</w:t>
            </w:r>
          </w:p>
        </w:tc>
      </w:tr>
      <w:tr w:rsidR="003E6FE7" w:rsidRPr="00D065B1" w14:paraId="374153E2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F515B26" w14:textId="4B39AF95" w:rsidR="003E6FE7" w:rsidRPr="00DA342C" w:rsidRDefault="003E6FE7" w:rsidP="003E6F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2F229FD1" w14:textId="17DD7FC1" w:rsidR="003E6FE7" w:rsidRPr="00DA342C" w:rsidRDefault="003E6FE7" w:rsidP="003E6FE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5E59D4B0" w14:textId="12D1A7B5" w:rsidR="003E6FE7" w:rsidRPr="00DA342C" w:rsidRDefault="003E6FE7" w:rsidP="00650D3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1.4%</w:t>
            </w:r>
          </w:p>
        </w:tc>
      </w:tr>
      <w:tr w:rsidR="003E6FE7" w:rsidRPr="00D065B1" w14:paraId="564A92A0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377DA624" w14:textId="5FC96A88" w:rsidR="003E6FE7" w:rsidRPr="00DA342C" w:rsidRDefault="003E6FE7" w:rsidP="003E6F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6A5B7C82" w14:textId="0EDAB2D4" w:rsidR="003E6FE7" w:rsidRPr="00DA342C" w:rsidRDefault="003E6FE7" w:rsidP="003E6FE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2C4785E" w14:textId="1265BEEA" w:rsidR="003E6FE7" w:rsidRPr="00DA342C" w:rsidRDefault="003E6FE7" w:rsidP="00650D3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1.4%</w:t>
            </w:r>
          </w:p>
        </w:tc>
      </w:tr>
      <w:tr w:rsidR="007F45EF" w:rsidRPr="00D065B1" w14:paraId="57FD977B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436533E" w14:textId="16D711F9" w:rsidR="007F45EF" w:rsidRPr="00DA342C" w:rsidRDefault="00EE22C8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32439D5" w14:textId="0CF30A08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FCB5EB9" w14:textId="4741074D" w:rsidR="007F45EF" w:rsidRPr="00DA342C" w:rsidRDefault="00650D3F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1.3%</w:t>
            </w:r>
          </w:p>
        </w:tc>
      </w:tr>
      <w:tr w:rsidR="003E6FE7" w:rsidRPr="00D065B1" w14:paraId="243507F6" w14:textId="77777777" w:rsidTr="003E6FE7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E4EE143" w14:textId="4EDE390C" w:rsidR="003E6FE7" w:rsidRPr="00DA342C" w:rsidRDefault="003E6FE7" w:rsidP="003E6F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3247EF1" w14:textId="378105B3" w:rsidR="003E6FE7" w:rsidRPr="00DA342C" w:rsidRDefault="003E6FE7" w:rsidP="003E6FE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A268E7D" w14:textId="6021FC92" w:rsidR="003E6FE7" w:rsidRPr="00DA342C" w:rsidRDefault="003E6FE7" w:rsidP="00650D3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1.2%</w:t>
            </w:r>
          </w:p>
        </w:tc>
      </w:tr>
      <w:tr w:rsidR="007F45EF" w:rsidRPr="00D065B1" w14:paraId="7D9D3C24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1AB0C24C" w14:textId="77777777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0A1A8C4B" w14:textId="6461CE66" w:rsidR="007F45EF" w:rsidRPr="00DA342C" w:rsidRDefault="003E6FE7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  <w:hideMark/>
          </w:tcPr>
          <w:p w14:paraId="3784D2F1" w14:textId="446CA27D" w:rsidR="007F45EF" w:rsidRPr="00DA342C" w:rsidRDefault="007F45EF" w:rsidP="00650D3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1.2%</w:t>
            </w:r>
          </w:p>
        </w:tc>
      </w:tr>
      <w:tr w:rsidR="007F45EF" w:rsidRPr="00D065B1" w14:paraId="3E8AB26C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  <w:hideMark/>
          </w:tcPr>
          <w:p w14:paraId="5EBB1DFD" w14:textId="144D887E" w:rsidR="007F45EF" w:rsidRPr="00DA342C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  <w:r w:rsidR="00EE22C8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 xml:space="preserve"> Insurance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B7A6E77" w14:textId="5BBDAC6B" w:rsidR="007F45EF" w:rsidRPr="00DA342C" w:rsidRDefault="00EE22C8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ECB93A" w14:textId="06E6644D" w:rsidR="007F45EF" w:rsidRPr="00DA342C" w:rsidRDefault="007F45EF" w:rsidP="00650D3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  <w:r w:rsidR="00650D3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1.0%</w:t>
            </w:r>
          </w:p>
        </w:tc>
      </w:tr>
      <w:tr w:rsidR="007F45EF" w:rsidRPr="00D065B1" w14:paraId="28F3974D" w14:textId="77777777" w:rsidTr="00650D3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4B053C5C" w14:textId="31634C6E" w:rsidR="007F45EF" w:rsidRPr="00DA342C" w:rsidRDefault="00EE22C8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22E97A5A" w14:textId="2F1A5119" w:rsidR="007F45EF" w:rsidRPr="00DA342C" w:rsidRDefault="00EE22C8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DAD8" w:themeFill="accent6" w:themeFillTint="66"/>
            <w:noWrap/>
            <w:vAlign w:val="center"/>
          </w:tcPr>
          <w:p w14:paraId="72079BDE" w14:textId="64A8D431" w:rsidR="007F45EF" w:rsidRPr="00DA342C" w:rsidRDefault="00650D3F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1.0%</w:t>
            </w:r>
            <w:r w:rsidR="007F45EF" w:rsidRPr="00DA342C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7F45EF" w:rsidRPr="00D065B1" w14:paraId="4274A993" w14:textId="77777777" w:rsidTr="006A1094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</w:tcPr>
          <w:p w14:paraId="1C4948A5" w14:textId="4D2E3A45" w:rsidR="007F45EF" w:rsidRPr="00D065B1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34A1C">
              <w:rPr>
                <w:rFonts w:eastAsia="Times New Roman"/>
                <w:b/>
                <w:bCs/>
                <w:lang w:eastAsia="en-IE"/>
              </w:rPr>
              <w:t xml:space="preserve">All other subcategories                                                                                       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</w:t>
            </w:r>
            <w:r w:rsidR="00AA578E">
              <w:rPr>
                <w:rFonts w:eastAsia="Times New Roman"/>
                <w:b/>
                <w:bCs/>
                <w:lang w:eastAsia="en-IE"/>
              </w:rPr>
              <w:t xml:space="preserve">      </w:t>
            </w:r>
            <w:r w:rsidRPr="00734A1C">
              <w:rPr>
                <w:rFonts w:eastAsia="Times New Roman"/>
                <w:b/>
                <w:bCs/>
                <w:lang w:eastAsia="en-IE"/>
              </w:rPr>
              <w:t xml:space="preserve"> </w:t>
            </w:r>
            <w:r w:rsidR="00AA578E">
              <w:rPr>
                <w:rFonts w:eastAsia="Times New Roman"/>
                <w:b/>
                <w:bCs/>
                <w:lang w:eastAsia="en-IE"/>
              </w:rPr>
              <w:t>3.7</w:t>
            </w:r>
            <w:r w:rsidRPr="00D065B1">
              <w:rPr>
                <w:rFonts w:eastAsia="Times New Roman"/>
                <w:b/>
                <w:bCs/>
                <w:lang w:eastAsia="en-IE"/>
              </w:rPr>
              <w:t>%</w:t>
            </w:r>
          </w:p>
        </w:tc>
      </w:tr>
      <w:tr w:rsidR="007F45EF" w:rsidRPr="00D065B1" w14:paraId="2B82A651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109A38C2" w14:textId="77777777" w:rsidR="007F45EF" w:rsidRPr="00D065B1" w:rsidRDefault="007F45EF" w:rsidP="006A109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FD41FB">
              <w:rPr>
                <w:rFonts w:eastAsia="Times New Roman"/>
                <w:sz w:val="20"/>
                <w:szCs w:val="20"/>
                <w:lang w:eastAsia="en-IE"/>
              </w:rPr>
              <w:t>All other subcategories*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0780217A" w14:textId="31145789" w:rsidR="007F45EF" w:rsidRPr="00C05ABE" w:rsidRDefault="00AA578E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C05ABE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FECEB" w:themeFill="accent6" w:themeFillTint="33"/>
            <w:noWrap/>
            <w:vAlign w:val="center"/>
          </w:tcPr>
          <w:p w14:paraId="5991053C" w14:textId="77777777" w:rsidR="007F45EF" w:rsidRPr="00D065B1" w:rsidRDefault="007F45EF" w:rsidP="006A109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7F45EF" w:rsidRPr="00D065B1" w14:paraId="73EB8733" w14:textId="77777777" w:rsidTr="006A1094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5691ADCE" w14:textId="77777777" w:rsidR="007F45EF" w:rsidRPr="00D065B1" w:rsidRDefault="007F45EF" w:rsidP="006A1094">
            <w:pPr>
              <w:spacing w:after="0" w:line="240" w:lineRule="auto"/>
            </w:pPr>
            <w:r w:rsidRPr="00D065B1">
              <w:rPr>
                <w:b/>
                <w:bCs/>
              </w:rPr>
              <w:t>Total Health Queries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2DC5AB60" w14:textId="3E589F34" w:rsidR="007F45EF" w:rsidRPr="00D065B1" w:rsidRDefault="00AA578E" w:rsidP="006A1094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13,621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2A39F" w:themeFill="accent6"/>
            <w:noWrap/>
            <w:vAlign w:val="center"/>
            <w:hideMark/>
          </w:tcPr>
          <w:p w14:paraId="134C5F2A" w14:textId="77777777" w:rsidR="007F45EF" w:rsidRPr="00D065B1" w:rsidRDefault="007F45EF" w:rsidP="006A1094">
            <w:pPr>
              <w:spacing w:after="0" w:line="240" w:lineRule="auto"/>
              <w:jc w:val="right"/>
            </w:pPr>
            <w:r w:rsidRPr="00D065B1">
              <w:rPr>
                <w:b/>
                <w:bCs/>
              </w:rPr>
              <w:t>100%</w:t>
            </w:r>
          </w:p>
        </w:tc>
      </w:tr>
    </w:tbl>
    <w:p w14:paraId="020E4698" w14:textId="03E4E131" w:rsidR="008F2D9E" w:rsidRDefault="00942712" w:rsidP="00FA7285">
      <w:pPr>
        <w:spacing w:line="240" w:lineRule="auto"/>
        <w:jc w:val="both"/>
        <w:rPr>
          <w:sz w:val="20"/>
          <w:szCs w:val="20"/>
        </w:rPr>
      </w:pPr>
      <w:r w:rsidRPr="00FA7285">
        <w:rPr>
          <w:b/>
        </w:rPr>
        <w:t xml:space="preserve">* </w:t>
      </w:r>
      <w:r w:rsidR="00A15BD4" w:rsidRPr="00FA7285">
        <w:rPr>
          <w:sz w:val="20"/>
          <w:szCs w:val="20"/>
        </w:rPr>
        <w:t xml:space="preserve">This </w:t>
      </w:r>
      <w:r w:rsidR="00860A5D" w:rsidRPr="00FA7285">
        <w:rPr>
          <w:sz w:val="20"/>
          <w:szCs w:val="20"/>
        </w:rPr>
        <w:t>includes C</w:t>
      </w:r>
      <w:r w:rsidR="00190935" w:rsidRPr="00FA7285">
        <w:rPr>
          <w:sz w:val="20"/>
          <w:szCs w:val="20"/>
        </w:rPr>
        <w:t>hildren’s Health</w:t>
      </w:r>
      <w:r w:rsidR="00E260E2" w:rsidRPr="00FA7285">
        <w:rPr>
          <w:sz w:val="20"/>
          <w:szCs w:val="20"/>
        </w:rPr>
        <w:t>(</w:t>
      </w:r>
      <w:r w:rsidR="00190935" w:rsidRPr="00FA7285">
        <w:rPr>
          <w:sz w:val="20"/>
          <w:szCs w:val="20"/>
        </w:rPr>
        <w:t>98</w:t>
      </w:r>
      <w:r w:rsidR="00E260E2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>, Entitlements</w:t>
      </w:r>
      <w:r w:rsidR="00190935" w:rsidRPr="00FA7285">
        <w:rPr>
          <w:sz w:val="20"/>
          <w:szCs w:val="20"/>
        </w:rPr>
        <w:t xml:space="preserve"> to Health Services</w:t>
      </w:r>
      <w:r w:rsidR="00B17A77" w:rsidRPr="00FA7285">
        <w:rPr>
          <w:sz w:val="20"/>
          <w:szCs w:val="20"/>
        </w:rPr>
        <w:t xml:space="preserve"> (</w:t>
      </w:r>
      <w:r w:rsidR="00190935" w:rsidRPr="00FA7285">
        <w:rPr>
          <w:sz w:val="20"/>
          <w:szCs w:val="20"/>
        </w:rPr>
        <w:t>92</w:t>
      </w:r>
      <w:r w:rsidR="00B17A77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 xml:space="preserve">, </w:t>
      </w:r>
      <w:r w:rsidR="00190935" w:rsidRPr="00FA7285">
        <w:rPr>
          <w:sz w:val="20"/>
          <w:szCs w:val="20"/>
        </w:rPr>
        <w:t>Cancer Services</w:t>
      </w:r>
      <w:r w:rsidR="00B17A77" w:rsidRPr="00FA7285">
        <w:rPr>
          <w:sz w:val="20"/>
          <w:szCs w:val="20"/>
        </w:rPr>
        <w:t xml:space="preserve"> (7</w:t>
      </w:r>
      <w:r w:rsidR="00190935" w:rsidRPr="00FA7285">
        <w:rPr>
          <w:sz w:val="20"/>
          <w:szCs w:val="20"/>
        </w:rPr>
        <w:t>6</w:t>
      </w:r>
      <w:r w:rsidR="00B17A77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 xml:space="preserve">, </w:t>
      </w:r>
      <w:r w:rsidR="00190935" w:rsidRPr="00FA7285">
        <w:rPr>
          <w:sz w:val="20"/>
          <w:szCs w:val="20"/>
        </w:rPr>
        <w:t>Health-Related Benefits and Entitlements</w:t>
      </w:r>
      <w:r w:rsidR="00B61ACC" w:rsidRPr="00FA7285">
        <w:rPr>
          <w:sz w:val="20"/>
          <w:szCs w:val="20"/>
        </w:rPr>
        <w:t xml:space="preserve"> (</w:t>
      </w:r>
      <w:r w:rsidR="00190935" w:rsidRPr="00FA7285">
        <w:rPr>
          <w:sz w:val="20"/>
          <w:szCs w:val="20"/>
        </w:rPr>
        <w:t>72</w:t>
      </w:r>
      <w:r w:rsidR="00B61ACC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 xml:space="preserve">, </w:t>
      </w:r>
      <w:r w:rsidR="00190935" w:rsidRPr="00FA7285">
        <w:rPr>
          <w:sz w:val="20"/>
          <w:szCs w:val="20"/>
        </w:rPr>
        <w:t>Cross-Border Healthcare</w:t>
      </w:r>
      <w:r w:rsidR="00FA5E2B" w:rsidRPr="00FA7285">
        <w:rPr>
          <w:sz w:val="20"/>
          <w:szCs w:val="20"/>
        </w:rPr>
        <w:t>(</w:t>
      </w:r>
      <w:r w:rsidR="00190935" w:rsidRPr="00FA7285">
        <w:rPr>
          <w:sz w:val="20"/>
          <w:szCs w:val="20"/>
        </w:rPr>
        <w:t>43</w:t>
      </w:r>
      <w:r w:rsidR="00FA5E2B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>,</w:t>
      </w:r>
      <w:r w:rsidR="00FA5E2B" w:rsidRPr="00FA7285">
        <w:rPr>
          <w:sz w:val="20"/>
          <w:szCs w:val="20"/>
        </w:rPr>
        <w:t xml:space="preserve"> </w:t>
      </w:r>
      <w:r w:rsidR="009C71D3" w:rsidRPr="00FA7285">
        <w:rPr>
          <w:sz w:val="20"/>
          <w:szCs w:val="20"/>
        </w:rPr>
        <w:t>Health Service</w:t>
      </w:r>
      <w:r w:rsidR="00190935" w:rsidRPr="00FA7285">
        <w:rPr>
          <w:sz w:val="20"/>
          <w:szCs w:val="20"/>
        </w:rPr>
        <w:t xml:space="preserve"> Agencies</w:t>
      </w:r>
      <w:r w:rsidR="00FA5E2B" w:rsidRPr="00FA7285">
        <w:rPr>
          <w:sz w:val="20"/>
          <w:szCs w:val="20"/>
        </w:rPr>
        <w:t xml:space="preserve"> (</w:t>
      </w:r>
      <w:r w:rsidR="00190935" w:rsidRPr="00FA7285">
        <w:rPr>
          <w:sz w:val="20"/>
          <w:szCs w:val="20"/>
        </w:rPr>
        <w:t>42</w:t>
      </w:r>
      <w:r w:rsidR="00FA5E2B" w:rsidRPr="00FA7285">
        <w:rPr>
          <w:sz w:val="20"/>
          <w:szCs w:val="20"/>
        </w:rPr>
        <w:t>)</w:t>
      </w:r>
      <w:r w:rsidR="009C71D3" w:rsidRPr="00FA7285">
        <w:rPr>
          <w:sz w:val="20"/>
          <w:szCs w:val="20"/>
        </w:rPr>
        <w:t xml:space="preserve">, </w:t>
      </w:r>
      <w:r w:rsidR="00190935" w:rsidRPr="00FA7285">
        <w:rPr>
          <w:sz w:val="20"/>
          <w:szCs w:val="20"/>
        </w:rPr>
        <w:t>Alcohol and Drug Treatment Services (41), Pharmacy Services (29), Aids and Appliances (27),</w:t>
      </w:r>
      <w:r w:rsidR="00FA5E2B" w:rsidRPr="00FA7285">
        <w:rPr>
          <w:sz w:val="20"/>
          <w:szCs w:val="20"/>
        </w:rPr>
        <w:t xml:space="preserve"> Women</w:t>
      </w:r>
      <w:r w:rsidR="00546FE1" w:rsidRPr="00FA7285">
        <w:rPr>
          <w:sz w:val="20"/>
          <w:szCs w:val="20"/>
        </w:rPr>
        <w:t>’s Health (2</w:t>
      </w:r>
      <w:r w:rsidR="00190935" w:rsidRPr="00FA7285">
        <w:rPr>
          <w:sz w:val="20"/>
          <w:szCs w:val="20"/>
        </w:rPr>
        <w:t>2</w:t>
      </w:r>
      <w:r w:rsidR="00546FE1" w:rsidRPr="00FA7285">
        <w:rPr>
          <w:sz w:val="20"/>
          <w:szCs w:val="20"/>
        </w:rPr>
        <w:t>),</w:t>
      </w:r>
      <w:r w:rsidRPr="00FA7285">
        <w:rPr>
          <w:sz w:val="20"/>
          <w:szCs w:val="20"/>
        </w:rPr>
        <w:t xml:space="preserve"> </w:t>
      </w:r>
      <w:r w:rsidR="00190935" w:rsidRPr="00FA7285">
        <w:rPr>
          <w:sz w:val="20"/>
          <w:szCs w:val="20"/>
        </w:rPr>
        <w:t xml:space="preserve">How </w:t>
      </w:r>
      <w:r w:rsidR="00546FE1" w:rsidRPr="00FA7285">
        <w:rPr>
          <w:sz w:val="20"/>
          <w:szCs w:val="20"/>
        </w:rPr>
        <w:t>Health</w:t>
      </w:r>
      <w:r w:rsidR="00026E60">
        <w:rPr>
          <w:sz w:val="20"/>
          <w:szCs w:val="20"/>
        </w:rPr>
        <w:t xml:space="preserve"> Services</w:t>
      </w:r>
      <w:r w:rsidR="00190935" w:rsidRPr="00FA7285">
        <w:rPr>
          <w:sz w:val="20"/>
          <w:szCs w:val="20"/>
        </w:rPr>
        <w:t xml:space="preserve"> are Organised</w:t>
      </w:r>
      <w:r w:rsidR="00546FE1" w:rsidRPr="00FA7285">
        <w:rPr>
          <w:sz w:val="20"/>
          <w:szCs w:val="20"/>
        </w:rPr>
        <w:t xml:space="preserve"> (</w:t>
      </w:r>
      <w:r w:rsidR="00190935" w:rsidRPr="00FA7285">
        <w:rPr>
          <w:sz w:val="20"/>
          <w:szCs w:val="20"/>
        </w:rPr>
        <w:t>15</w:t>
      </w:r>
      <w:r w:rsidR="00546FE1" w:rsidRPr="00FA7285">
        <w:rPr>
          <w:sz w:val="20"/>
          <w:szCs w:val="20"/>
        </w:rPr>
        <w:t xml:space="preserve">), </w:t>
      </w:r>
      <w:r w:rsidRPr="00FA7285">
        <w:rPr>
          <w:sz w:val="20"/>
          <w:szCs w:val="20"/>
        </w:rPr>
        <w:t>Bl</w:t>
      </w:r>
      <w:r w:rsidR="00190935" w:rsidRPr="00FA7285">
        <w:rPr>
          <w:sz w:val="20"/>
          <w:szCs w:val="20"/>
        </w:rPr>
        <w:t>ind Welfare Allowance</w:t>
      </w:r>
      <w:r w:rsidR="00546FE1" w:rsidRPr="00FA7285">
        <w:rPr>
          <w:sz w:val="20"/>
          <w:szCs w:val="20"/>
        </w:rPr>
        <w:t xml:space="preserve"> (</w:t>
      </w:r>
      <w:r w:rsidR="00190935" w:rsidRPr="00FA7285">
        <w:rPr>
          <w:sz w:val="20"/>
          <w:szCs w:val="20"/>
        </w:rPr>
        <w:t>14</w:t>
      </w:r>
      <w:r w:rsidR="00546FE1" w:rsidRPr="00FA7285">
        <w:rPr>
          <w:sz w:val="20"/>
          <w:szCs w:val="20"/>
        </w:rPr>
        <w:t>)</w:t>
      </w:r>
      <w:r w:rsidRPr="00FA7285">
        <w:rPr>
          <w:sz w:val="20"/>
          <w:szCs w:val="20"/>
        </w:rPr>
        <w:t xml:space="preserve">, </w:t>
      </w:r>
      <w:r w:rsidR="00190935" w:rsidRPr="00FA7285">
        <w:rPr>
          <w:sz w:val="20"/>
          <w:szCs w:val="20"/>
        </w:rPr>
        <w:t>Emergency Health Services</w:t>
      </w:r>
      <w:r w:rsidR="00546FE1" w:rsidRPr="00FA7285">
        <w:rPr>
          <w:sz w:val="20"/>
          <w:szCs w:val="20"/>
        </w:rPr>
        <w:t xml:space="preserve"> (1</w:t>
      </w:r>
      <w:r w:rsidR="00190935" w:rsidRPr="00FA7285">
        <w:rPr>
          <w:sz w:val="20"/>
          <w:szCs w:val="20"/>
        </w:rPr>
        <w:t>3</w:t>
      </w:r>
      <w:r w:rsidR="00546FE1" w:rsidRPr="00FA7285">
        <w:rPr>
          <w:sz w:val="20"/>
          <w:szCs w:val="20"/>
        </w:rPr>
        <w:t>)</w:t>
      </w:r>
      <w:r w:rsidR="00190935" w:rsidRPr="00FA7285">
        <w:rPr>
          <w:sz w:val="20"/>
          <w:szCs w:val="20"/>
        </w:rPr>
        <w:t>, Environmental Health (3), and Blood and Organ Donation (1)</w:t>
      </w:r>
      <w:r w:rsidRPr="00FA7285">
        <w:rPr>
          <w:sz w:val="20"/>
          <w:szCs w:val="20"/>
        </w:rPr>
        <w:t>.</w:t>
      </w:r>
      <w:r w:rsidR="009C71D3" w:rsidRPr="00726B8C">
        <w:rPr>
          <w:sz w:val="20"/>
          <w:szCs w:val="20"/>
        </w:rPr>
        <w:t xml:space="preserve"> </w:t>
      </w:r>
    </w:p>
    <w:bookmarkEnd w:id="1"/>
    <w:p w14:paraId="1E662A7E" w14:textId="77777777" w:rsidR="00125B60" w:rsidRDefault="00125B60">
      <w:pPr>
        <w:rPr>
          <w:sz w:val="20"/>
          <w:szCs w:val="20"/>
        </w:rPr>
        <w:sectPr w:rsidR="00125B60" w:rsidSect="00586C6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36B45A38" w14:textId="5078E6FC" w:rsidR="008F2D9E" w:rsidRDefault="008F2D9E">
      <w:pPr>
        <w:rPr>
          <w:sz w:val="20"/>
          <w:szCs w:val="20"/>
        </w:rPr>
      </w:pPr>
    </w:p>
    <w:p w14:paraId="3FF5DE6D" w14:textId="59DAED49" w:rsidR="008F2D9E" w:rsidRPr="00D065B1" w:rsidRDefault="008F2D9E" w:rsidP="00D065B1">
      <w:pPr>
        <w:pStyle w:val="Heading1"/>
      </w:pPr>
      <w:r w:rsidRPr="00D065B1">
        <w:t>Quarter-on-Quarter Comparison: what’s new?</w:t>
      </w:r>
      <w:r w:rsidR="00D065B1">
        <w:t xml:space="preserve"> </w:t>
      </w:r>
      <w:r w:rsidR="00D065B1">
        <w:rPr>
          <w:rStyle w:val="FootnoteReference"/>
        </w:rPr>
        <w:footnoteReference w:id="1"/>
      </w:r>
      <w:r w:rsidR="00D065B1">
        <w:t xml:space="preserve"> </w:t>
      </w:r>
      <w:r w:rsidR="00D065B1">
        <w:rPr>
          <w:rStyle w:val="FootnoteReference"/>
        </w:rPr>
        <w:footnoteReference w:id="2"/>
      </w:r>
      <w:r w:rsidR="00D065B1">
        <w:t xml:space="preserve"> </w:t>
      </w:r>
    </w:p>
    <w:p w14:paraId="6415F8C5" w14:textId="77777777" w:rsidR="00860A5D" w:rsidRDefault="008F2D9E" w:rsidP="007203C4">
      <w:pPr>
        <w:jc w:val="both"/>
      </w:pPr>
      <w:r w:rsidRPr="00726B8C">
        <w:t xml:space="preserve">This section </w:t>
      </w:r>
      <w:r w:rsidR="00860A5D">
        <w:t>offers</w:t>
      </w:r>
      <w:r w:rsidRPr="00726B8C">
        <w:t xml:space="preserve"> insights into the categories that are not profiled in more detail </w:t>
      </w:r>
      <w:r w:rsidR="00860A5D">
        <w:t xml:space="preserve">above – </w:t>
      </w:r>
      <w:proofErr w:type="spellStart"/>
      <w:r w:rsidR="00860A5D">
        <w:t>i.e</w:t>
      </w:r>
      <w:proofErr w:type="spellEnd"/>
      <w:r w:rsidR="00860A5D">
        <w:t xml:space="preserve"> that are not in the top three (social welfare, housing and health) query areas</w:t>
      </w:r>
      <w:r w:rsidRPr="00726B8C">
        <w:t xml:space="preserve">. </w:t>
      </w:r>
    </w:p>
    <w:p w14:paraId="2721CCB1" w14:textId="51EA00AF" w:rsidR="008F2D9E" w:rsidRDefault="008F2D9E" w:rsidP="007203C4">
      <w:pPr>
        <w:jc w:val="both"/>
      </w:pPr>
      <w:r w:rsidRPr="00726B8C">
        <w:t xml:space="preserve">The query comparisons are </w:t>
      </w:r>
      <w:r w:rsidR="00860A5D">
        <w:t>between</w:t>
      </w:r>
      <w:r w:rsidRPr="00726B8C">
        <w:t xml:space="preserve"> Q</w:t>
      </w:r>
      <w:r w:rsidR="007F45EF">
        <w:t>4</w:t>
      </w:r>
      <w:r w:rsidR="00860A5D">
        <w:t>,</w:t>
      </w:r>
      <w:r w:rsidRPr="00726B8C">
        <w:t xml:space="preserve"> 2023 </w:t>
      </w:r>
      <w:r w:rsidR="00860A5D">
        <w:t>and</w:t>
      </w:r>
      <w:r w:rsidRPr="00726B8C">
        <w:t xml:space="preserve"> Q</w:t>
      </w:r>
      <w:r w:rsidR="007F45EF">
        <w:t>4</w:t>
      </w:r>
      <w:r w:rsidR="00860A5D">
        <w:t>,</w:t>
      </w:r>
      <w:r w:rsidRPr="00726B8C">
        <w:t xml:space="preserve"> 2024</w:t>
      </w:r>
      <w:r w:rsidR="00860A5D">
        <w:t>. The</w:t>
      </w:r>
      <w:r w:rsidRPr="00726B8C">
        <w:t xml:space="preserve"> number</w:t>
      </w:r>
      <w:r>
        <w:t>s</w:t>
      </w:r>
      <w:r w:rsidRPr="00726B8C">
        <w:t xml:space="preserve"> in brackets </w:t>
      </w:r>
      <w:r>
        <w:t>are</w:t>
      </w:r>
      <w:r w:rsidRPr="00726B8C">
        <w:t xml:space="preserve"> the number of queries </w:t>
      </w:r>
      <w:r>
        <w:t>in Q</w:t>
      </w:r>
      <w:r w:rsidR="007F45EF">
        <w:t>4</w:t>
      </w:r>
      <w:r w:rsidR="00860A5D">
        <w:t>,</w:t>
      </w:r>
      <w:r>
        <w:t xml:space="preserve"> 2024</w:t>
      </w:r>
      <w:r w:rsidRPr="00726B8C">
        <w:t>.</w:t>
      </w:r>
    </w:p>
    <w:p w14:paraId="417BCD91" w14:textId="4AF4201F" w:rsidR="007F45EF" w:rsidRPr="00726B8C" w:rsidRDefault="007F45EF" w:rsidP="007F45EF">
      <w:r w:rsidRPr="00860A5D">
        <w:rPr>
          <w:rStyle w:val="Heading2Char"/>
        </w:rPr>
        <w:t xml:space="preserve">Money and Tax </w:t>
      </w:r>
      <w:r w:rsidRPr="00860A5D">
        <w:t>queries</w:t>
      </w:r>
      <w:r w:rsidRPr="00726B8C">
        <w:t xml:space="preserve"> decreased by </w:t>
      </w:r>
      <w:r>
        <w:t>5.2</w:t>
      </w:r>
      <w:r w:rsidRPr="00726B8C">
        <w:t>% (10,</w:t>
      </w:r>
      <w:r>
        <w:t>291</w:t>
      </w:r>
      <w:r w:rsidRPr="00726B8C">
        <w:t>).</w:t>
      </w:r>
    </w:p>
    <w:p w14:paraId="458A0FC3" w14:textId="4BA8C6F0" w:rsidR="007F45EF" w:rsidRPr="00726B8C" w:rsidRDefault="007F45EF" w:rsidP="00FA7285">
      <w:pPr>
        <w:pStyle w:val="ListParagraph"/>
      </w:pPr>
      <w:r w:rsidRPr="00726B8C">
        <w:t xml:space="preserve">Income Tax Credits and Reliefs queries decreased by </w:t>
      </w:r>
      <w:r>
        <w:t>5</w:t>
      </w:r>
      <w:r w:rsidRPr="00726B8C">
        <w:t>% (</w:t>
      </w:r>
      <w:r>
        <w:t>1,987</w:t>
      </w:r>
      <w:r w:rsidRPr="00726B8C">
        <w:t>).</w:t>
      </w:r>
    </w:p>
    <w:p w14:paraId="5C8B8EBE" w14:textId="1E4409B8" w:rsidR="007F45EF" w:rsidRPr="00726B8C" w:rsidRDefault="007F45EF" w:rsidP="00FA7285">
      <w:pPr>
        <w:pStyle w:val="ListParagraph"/>
      </w:pPr>
      <w:r w:rsidRPr="00726B8C">
        <w:t xml:space="preserve">Income Tax queries </w:t>
      </w:r>
      <w:r w:rsidR="00E71DD2">
        <w:t>decreased</w:t>
      </w:r>
      <w:r w:rsidR="008C2C50">
        <w:t xml:space="preserve"> </w:t>
      </w:r>
      <w:r w:rsidRPr="00726B8C">
        <w:t xml:space="preserve">by </w:t>
      </w:r>
      <w:r w:rsidR="008C2C50">
        <w:t>10.4</w:t>
      </w:r>
      <w:r w:rsidRPr="00726B8C">
        <w:t>% (</w:t>
      </w:r>
      <w:r w:rsidR="008C2C50">
        <w:t>1,977</w:t>
      </w:r>
      <w:r w:rsidRPr="00726B8C">
        <w:t>).</w:t>
      </w:r>
    </w:p>
    <w:p w14:paraId="70F0063B" w14:textId="6AB9851C" w:rsidR="007F45EF" w:rsidRPr="00726B8C" w:rsidRDefault="007F45EF" w:rsidP="00FA7285">
      <w:pPr>
        <w:pStyle w:val="ListParagraph"/>
      </w:pPr>
      <w:r w:rsidRPr="00726B8C">
        <w:t xml:space="preserve">Revenue Online queries decreased by </w:t>
      </w:r>
      <w:r w:rsidR="008C2C50">
        <w:t>2.0</w:t>
      </w:r>
      <w:r w:rsidRPr="00726B8C">
        <w:t>% (1,</w:t>
      </w:r>
      <w:r w:rsidR="008C2C50">
        <w:t>425</w:t>
      </w:r>
      <w:r w:rsidRPr="00726B8C">
        <w:t>).</w:t>
      </w:r>
    </w:p>
    <w:p w14:paraId="2CD6A4C4" w14:textId="0015CC67" w:rsidR="007F45EF" w:rsidRDefault="007F45EF" w:rsidP="00FA7285">
      <w:pPr>
        <w:pStyle w:val="ListParagraph"/>
      </w:pPr>
      <w:r w:rsidRPr="00726B8C">
        <w:t xml:space="preserve">Income Tax refund queries </w:t>
      </w:r>
      <w:r w:rsidR="008C2C50">
        <w:t>de</w:t>
      </w:r>
      <w:r w:rsidRPr="00726B8C">
        <w:t xml:space="preserve">creased by </w:t>
      </w:r>
      <w:r w:rsidR="008C2C50">
        <w:t>10.6</w:t>
      </w:r>
      <w:r w:rsidRPr="00726B8C">
        <w:t>% (</w:t>
      </w:r>
      <w:r w:rsidR="008C2C50">
        <w:t>718</w:t>
      </w:r>
      <w:r w:rsidRPr="00726B8C">
        <w:t>).</w:t>
      </w:r>
    </w:p>
    <w:p w14:paraId="2E38EB9E" w14:textId="36C9B34E" w:rsidR="008F2D9E" w:rsidRPr="00726B8C" w:rsidRDefault="008F2D9E" w:rsidP="008F2D9E">
      <w:r w:rsidRPr="00860A5D">
        <w:rPr>
          <w:rStyle w:val="Heading2Char"/>
        </w:rPr>
        <w:t xml:space="preserve">Employment </w:t>
      </w:r>
      <w:r w:rsidRPr="00860A5D">
        <w:t>queries</w:t>
      </w:r>
      <w:r w:rsidRPr="00726B8C">
        <w:t xml:space="preserve"> </w:t>
      </w:r>
      <w:r w:rsidR="008C2C50">
        <w:t>remained at a similar level</w:t>
      </w:r>
      <w:r w:rsidRPr="00726B8C">
        <w:t xml:space="preserve"> (</w:t>
      </w:r>
      <w:r w:rsidR="008C2C50">
        <w:t>9,825</w:t>
      </w:r>
      <w:r w:rsidRPr="00726B8C">
        <w:t>).</w:t>
      </w:r>
    </w:p>
    <w:p w14:paraId="58B3E3B0" w14:textId="59E4BA2C" w:rsidR="008F2D9E" w:rsidRPr="00726B8C" w:rsidRDefault="008F2D9E" w:rsidP="00FA7285">
      <w:pPr>
        <w:pStyle w:val="ListParagraph"/>
      </w:pPr>
      <w:r w:rsidRPr="00726B8C">
        <w:t xml:space="preserve">Employment Rights and Conditions queries decreased by </w:t>
      </w:r>
      <w:r w:rsidR="008C2C50">
        <w:t>1.5</w:t>
      </w:r>
      <w:r w:rsidRPr="00726B8C">
        <w:t>% (</w:t>
      </w:r>
      <w:r w:rsidR="008C2C50">
        <w:t>5,723</w:t>
      </w:r>
      <w:r w:rsidRPr="00726B8C">
        <w:t>).</w:t>
      </w:r>
    </w:p>
    <w:p w14:paraId="0832C83C" w14:textId="5B3D14B3" w:rsidR="008F2D9E" w:rsidRPr="00726B8C" w:rsidRDefault="008F2D9E" w:rsidP="00FA7285">
      <w:pPr>
        <w:pStyle w:val="ListParagraph"/>
      </w:pPr>
      <w:r w:rsidRPr="00726B8C">
        <w:t>The number of queries relating to Contracts of Employment decreased by 4.2% (</w:t>
      </w:r>
      <w:r w:rsidR="008C2C50">
        <w:t>957</w:t>
      </w:r>
      <w:r w:rsidRPr="00726B8C">
        <w:t>).</w:t>
      </w:r>
    </w:p>
    <w:p w14:paraId="1F384B7D" w14:textId="0456B96F" w:rsidR="008F2D9E" w:rsidRPr="00726B8C" w:rsidRDefault="008F2D9E" w:rsidP="00FA7285">
      <w:pPr>
        <w:pStyle w:val="ListParagraph"/>
      </w:pPr>
      <w:r w:rsidRPr="00726B8C">
        <w:t xml:space="preserve">Queries relating to Leave and Holidays decreased by </w:t>
      </w:r>
      <w:r w:rsidR="008C2C50">
        <w:t>18.4</w:t>
      </w:r>
      <w:r w:rsidRPr="00726B8C">
        <w:t>% (8</w:t>
      </w:r>
      <w:r w:rsidR="008C2C50">
        <w:t>26</w:t>
      </w:r>
      <w:r w:rsidRPr="00726B8C">
        <w:t>).</w:t>
      </w:r>
    </w:p>
    <w:p w14:paraId="4DB4BBE6" w14:textId="449CFF82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Sick Leave and Sick Pay Scheme queries </w:t>
      </w:r>
      <w:r w:rsidR="008C2C50" w:rsidRPr="001E60A9">
        <w:rPr>
          <w:b/>
          <w:bCs w:val="0"/>
        </w:rPr>
        <w:t>increased</w:t>
      </w:r>
      <w:r w:rsidRPr="001E60A9">
        <w:rPr>
          <w:b/>
          <w:bCs w:val="0"/>
        </w:rPr>
        <w:t xml:space="preserve"> by </w:t>
      </w:r>
      <w:r w:rsidR="008C2C50" w:rsidRPr="001E60A9">
        <w:rPr>
          <w:b/>
          <w:bCs w:val="0"/>
        </w:rPr>
        <w:t>8.9</w:t>
      </w:r>
      <w:r w:rsidRPr="001E60A9">
        <w:rPr>
          <w:b/>
          <w:bCs w:val="0"/>
        </w:rPr>
        <w:t>% (6</w:t>
      </w:r>
      <w:r w:rsidR="008C2C50" w:rsidRPr="001E60A9">
        <w:rPr>
          <w:b/>
          <w:bCs w:val="0"/>
        </w:rPr>
        <w:t>36</w:t>
      </w:r>
      <w:r w:rsidRPr="001E60A9">
        <w:rPr>
          <w:b/>
          <w:bCs w:val="0"/>
        </w:rPr>
        <w:t>).</w:t>
      </w:r>
    </w:p>
    <w:p w14:paraId="299936F4" w14:textId="01D0B8C0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>Unemployment and Redundancy queries increased by 4.2% (</w:t>
      </w:r>
      <w:r w:rsidR="008C2C50" w:rsidRPr="001E60A9">
        <w:rPr>
          <w:b/>
          <w:bCs w:val="0"/>
        </w:rPr>
        <w:t>892</w:t>
      </w:r>
      <w:r w:rsidRPr="001E60A9">
        <w:rPr>
          <w:b/>
          <w:bCs w:val="0"/>
        </w:rPr>
        <w:t>).</w:t>
      </w:r>
    </w:p>
    <w:p w14:paraId="75DE04A8" w14:textId="063DCA85" w:rsidR="008F2D9E" w:rsidRPr="008719F9" w:rsidRDefault="008F2D9E" w:rsidP="00FA7285">
      <w:pPr>
        <w:pStyle w:val="ListParagraph"/>
      </w:pPr>
      <w:r w:rsidRPr="001E60A9">
        <w:rPr>
          <w:b/>
          <w:bCs w:val="0"/>
        </w:rPr>
        <w:t xml:space="preserve">Self-employment queries increased by </w:t>
      </w:r>
      <w:r w:rsidR="008C2C50" w:rsidRPr="001E60A9">
        <w:rPr>
          <w:b/>
          <w:bCs w:val="0"/>
        </w:rPr>
        <w:t>11.8</w:t>
      </w:r>
      <w:r w:rsidRPr="001E60A9">
        <w:rPr>
          <w:b/>
          <w:bCs w:val="0"/>
        </w:rPr>
        <w:t>% (</w:t>
      </w:r>
      <w:r w:rsidR="008C2C50" w:rsidRPr="001E60A9">
        <w:rPr>
          <w:b/>
          <w:bCs w:val="0"/>
        </w:rPr>
        <w:t>822</w:t>
      </w:r>
      <w:r w:rsidRPr="001E60A9">
        <w:rPr>
          <w:b/>
          <w:bCs w:val="0"/>
        </w:rPr>
        <w:t>).</w:t>
      </w:r>
    </w:p>
    <w:p w14:paraId="02CB5BC1" w14:textId="42E02E02" w:rsidR="008F2D9E" w:rsidRPr="00726B8C" w:rsidRDefault="008F2D9E" w:rsidP="008F2D9E">
      <w:r w:rsidRPr="00860A5D">
        <w:rPr>
          <w:rStyle w:val="Heading2Char"/>
        </w:rPr>
        <w:t>Moving Country</w:t>
      </w:r>
      <w:r w:rsidRPr="00726B8C">
        <w:t xml:space="preserve"> queries </w:t>
      </w:r>
      <w:r w:rsidR="008C2C50">
        <w:t>remained at a similar level</w:t>
      </w:r>
      <w:r w:rsidRPr="00726B8C">
        <w:t xml:space="preserve"> (</w:t>
      </w:r>
      <w:r w:rsidR="008C2C50">
        <w:t>8,020</w:t>
      </w:r>
      <w:r w:rsidRPr="00726B8C">
        <w:t>).</w:t>
      </w:r>
    </w:p>
    <w:p w14:paraId="4E8BA453" w14:textId="0E42A68A" w:rsidR="008F2D9E" w:rsidRDefault="008F2D9E" w:rsidP="00FA7285">
      <w:pPr>
        <w:pStyle w:val="ListParagraph"/>
      </w:pPr>
      <w:r w:rsidRPr="00726B8C">
        <w:t>Irish Citizenship queries decreased by 2</w:t>
      </w:r>
      <w:r w:rsidR="008C2C50">
        <w:t>0.3</w:t>
      </w:r>
      <w:r w:rsidRPr="00726B8C">
        <w:t>% (2,</w:t>
      </w:r>
      <w:r w:rsidR="008C2C50">
        <w:t>375</w:t>
      </w:r>
      <w:r w:rsidRPr="00726B8C">
        <w:t>).</w:t>
      </w:r>
    </w:p>
    <w:p w14:paraId="4E315DCD" w14:textId="3335AC97" w:rsidR="008C2C50" w:rsidRPr="001E60A9" w:rsidRDefault="008C2C50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Irish Residence Permit (IRP) Applications and </w:t>
      </w:r>
      <w:r w:rsidR="00E71DD2" w:rsidRPr="001E60A9">
        <w:rPr>
          <w:b/>
          <w:bCs w:val="0"/>
        </w:rPr>
        <w:t>Renewal</w:t>
      </w:r>
      <w:r w:rsidR="00E71DD2">
        <w:rPr>
          <w:b/>
          <w:bCs w:val="0"/>
        </w:rPr>
        <w:t xml:space="preserve"> queries</w:t>
      </w:r>
      <w:r w:rsidR="00E71DD2" w:rsidRPr="001E60A9">
        <w:rPr>
          <w:b/>
          <w:bCs w:val="0"/>
        </w:rPr>
        <w:t xml:space="preserve"> </w:t>
      </w:r>
      <w:r w:rsidRPr="001E60A9">
        <w:rPr>
          <w:b/>
          <w:bCs w:val="0"/>
        </w:rPr>
        <w:t>increased by 61.9% (868).</w:t>
      </w:r>
    </w:p>
    <w:p w14:paraId="5E2BDA3F" w14:textId="739D2140" w:rsidR="008F2D9E" w:rsidRPr="00726B8C" w:rsidRDefault="008F2D9E" w:rsidP="00FA7285">
      <w:pPr>
        <w:pStyle w:val="ListParagraph"/>
      </w:pPr>
      <w:r w:rsidRPr="00726B8C">
        <w:t xml:space="preserve">Visa queries </w:t>
      </w:r>
      <w:r w:rsidR="008C2C50">
        <w:t xml:space="preserve">decreased </w:t>
      </w:r>
      <w:r w:rsidRPr="00726B8C">
        <w:t>by 1.</w:t>
      </w:r>
      <w:r w:rsidR="008C2C50">
        <w:t>3</w:t>
      </w:r>
      <w:r w:rsidRPr="00726B8C">
        <w:t>% (857).</w:t>
      </w:r>
    </w:p>
    <w:p w14:paraId="395E2911" w14:textId="77777777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>Asylum Seekers/Refugees- Ukrainian queries increased by 4.5% (679).</w:t>
      </w:r>
    </w:p>
    <w:p w14:paraId="6C5A53DB" w14:textId="25C31207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Queries relating to Asylum Seekers and Refugees queries increased by </w:t>
      </w:r>
      <w:r w:rsidR="008C2C50" w:rsidRPr="001E60A9">
        <w:rPr>
          <w:b/>
          <w:bCs w:val="0"/>
        </w:rPr>
        <w:t>90.4</w:t>
      </w:r>
      <w:r w:rsidRPr="001E60A9">
        <w:rPr>
          <w:b/>
          <w:bCs w:val="0"/>
        </w:rPr>
        <w:t>% (4</w:t>
      </w:r>
      <w:r w:rsidR="008C2C50" w:rsidRPr="001E60A9">
        <w:rPr>
          <w:b/>
          <w:bCs w:val="0"/>
        </w:rPr>
        <w:t>34</w:t>
      </w:r>
      <w:r w:rsidRPr="001E60A9">
        <w:rPr>
          <w:b/>
          <w:bCs w:val="0"/>
        </w:rPr>
        <w:t>).</w:t>
      </w:r>
    </w:p>
    <w:p w14:paraId="604FDADD" w14:textId="2A57AEAF" w:rsidR="008F2D9E" w:rsidRPr="00726B8C" w:rsidRDefault="008F2D9E" w:rsidP="008F2D9E">
      <w:r w:rsidRPr="00860A5D">
        <w:rPr>
          <w:rStyle w:val="Heading2Char"/>
        </w:rPr>
        <w:t>Travel and Recreation</w:t>
      </w:r>
      <w:r w:rsidRPr="00726B8C">
        <w:t xml:space="preserve"> queries </w:t>
      </w:r>
      <w:r w:rsidR="008C2C50">
        <w:t>increased slightly</w:t>
      </w:r>
      <w:r w:rsidRPr="00726B8C">
        <w:t xml:space="preserve"> by </w:t>
      </w:r>
      <w:r w:rsidR="008C2C50">
        <w:t>1.3</w:t>
      </w:r>
      <w:r w:rsidRPr="00726B8C">
        <w:t>% (</w:t>
      </w:r>
      <w:r w:rsidR="008C2C50">
        <w:t>4,139</w:t>
      </w:r>
      <w:r w:rsidRPr="00726B8C">
        <w:t>).</w:t>
      </w:r>
    </w:p>
    <w:p w14:paraId="728C361C" w14:textId="614B7530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Queries relating to Motoring </w:t>
      </w:r>
      <w:r w:rsidR="008C2C50" w:rsidRPr="001E60A9">
        <w:rPr>
          <w:b/>
          <w:bCs w:val="0"/>
        </w:rPr>
        <w:t>grew by 9.3</w:t>
      </w:r>
      <w:r w:rsidRPr="001E60A9">
        <w:rPr>
          <w:b/>
          <w:bCs w:val="0"/>
        </w:rPr>
        <w:t xml:space="preserve"> (1,8</w:t>
      </w:r>
      <w:r w:rsidR="008C2C50" w:rsidRPr="001E60A9">
        <w:rPr>
          <w:b/>
          <w:bCs w:val="0"/>
        </w:rPr>
        <w:t>37</w:t>
      </w:r>
      <w:r w:rsidRPr="001E60A9">
        <w:rPr>
          <w:b/>
          <w:bCs w:val="0"/>
        </w:rPr>
        <w:t>).</w:t>
      </w:r>
    </w:p>
    <w:p w14:paraId="0804CA9C" w14:textId="2D2AE10B" w:rsidR="008F2D9E" w:rsidRPr="00726B8C" w:rsidRDefault="008F2D9E" w:rsidP="00FA7285">
      <w:pPr>
        <w:pStyle w:val="ListParagraph"/>
      </w:pPr>
      <w:r w:rsidRPr="00726B8C">
        <w:t xml:space="preserve">Passport queries remained </w:t>
      </w:r>
      <w:r w:rsidR="00E71DD2">
        <w:t>the same</w:t>
      </w:r>
      <w:r w:rsidRPr="00726B8C">
        <w:t xml:space="preserve"> (1,</w:t>
      </w:r>
      <w:r w:rsidR="008C2C50">
        <w:t>195</w:t>
      </w:r>
      <w:r w:rsidRPr="00726B8C">
        <w:t>).</w:t>
      </w:r>
    </w:p>
    <w:p w14:paraId="3ADD6EA8" w14:textId="3758C9AC" w:rsidR="008F2D9E" w:rsidRPr="00726B8C" w:rsidRDefault="008F2D9E" w:rsidP="00FA7285">
      <w:pPr>
        <w:pStyle w:val="ListParagraph"/>
      </w:pPr>
      <w:r w:rsidRPr="00726B8C">
        <w:t xml:space="preserve">Transport and Disability decreased by </w:t>
      </w:r>
      <w:r w:rsidR="008C2C50">
        <w:t>26.7</w:t>
      </w:r>
      <w:r w:rsidRPr="00726B8C">
        <w:t>% (296).</w:t>
      </w:r>
    </w:p>
    <w:p w14:paraId="5BEAEE68" w14:textId="50BE85E8" w:rsidR="008F2D9E" w:rsidRPr="00726B8C" w:rsidRDefault="008F2D9E" w:rsidP="008F2D9E">
      <w:r w:rsidRPr="00860A5D">
        <w:rPr>
          <w:rStyle w:val="Heading2Char"/>
        </w:rPr>
        <w:t>Justice</w:t>
      </w:r>
      <w:r w:rsidRPr="00726B8C">
        <w:t xml:space="preserve"> queries declined by </w:t>
      </w:r>
      <w:r w:rsidR="008C2C50">
        <w:t>4.8</w:t>
      </w:r>
      <w:r w:rsidRPr="00726B8C">
        <w:t>% (4,</w:t>
      </w:r>
      <w:r w:rsidR="008C2C50">
        <w:t>081</w:t>
      </w:r>
      <w:r w:rsidRPr="00726B8C">
        <w:t>).</w:t>
      </w:r>
    </w:p>
    <w:p w14:paraId="5EC901A4" w14:textId="273CD9EA" w:rsidR="008F2D9E" w:rsidRPr="00726B8C" w:rsidRDefault="008F2D9E" w:rsidP="00FA7285">
      <w:pPr>
        <w:pStyle w:val="ListParagraph"/>
      </w:pPr>
      <w:r w:rsidRPr="00726B8C">
        <w:t>Legal Aid and Advice queries declined by 1</w:t>
      </w:r>
      <w:r w:rsidR="00CD4269">
        <w:t>4.4</w:t>
      </w:r>
      <w:r w:rsidRPr="00726B8C">
        <w:t>% (</w:t>
      </w:r>
      <w:r w:rsidR="00CD4269">
        <w:t>1,789</w:t>
      </w:r>
      <w:r w:rsidRPr="00726B8C">
        <w:t>).</w:t>
      </w:r>
    </w:p>
    <w:p w14:paraId="6050E610" w14:textId="58D8D07E" w:rsidR="008F2D9E" w:rsidRPr="00726B8C" w:rsidRDefault="008F2D9E" w:rsidP="00FA7285">
      <w:pPr>
        <w:pStyle w:val="ListParagraph"/>
      </w:pPr>
      <w:r w:rsidRPr="00726B8C">
        <w:t xml:space="preserve">Civil Law queries declined by </w:t>
      </w:r>
      <w:r w:rsidR="00CD4269">
        <w:t>13.3</w:t>
      </w:r>
      <w:r w:rsidRPr="00726B8C">
        <w:t>% (3</w:t>
      </w:r>
      <w:r w:rsidR="00CD4269">
        <w:t>52</w:t>
      </w:r>
      <w:r w:rsidRPr="00726B8C">
        <w:t>).</w:t>
      </w:r>
    </w:p>
    <w:p w14:paraId="7CDEFE9F" w14:textId="77777777" w:rsidR="0025314B" w:rsidRDefault="0025314B" w:rsidP="008F2D9E"/>
    <w:p w14:paraId="1A96ECD3" w14:textId="1DCC94D3" w:rsidR="008F2D9E" w:rsidRPr="00726B8C" w:rsidRDefault="008F2D9E" w:rsidP="008F2D9E">
      <w:r w:rsidRPr="00860A5D">
        <w:rPr>
          <w:rStyle w:val="Heading2Char"/>
        </w:rPr>
        <w:lastRenderedPageBreak/>
        <w:t>Birth, Family and Relationships</w:t>
      </w:r>
      <w:r w:rsidRPr="00726B8C">
        <w:t xml:space="preserve"> queries declined by </w:t>
      </w:r>
      <w:r w:rsidR="00CD4269">
        <w:t>12</w:t>
      </w:r>
      <w:r w:rsidRPr="00726B8C">
        <w:t>% (</w:t>
      </w:r>
      <w:r w:rsidR="00CD4269">
        <w:t>3,341</w:t>
      </w:r>
      <w:r w:rsidRPr="00726B8C">
        <w:t>).</w:t>
      </w:r>
    </w:p>
    <w:p w14:paraId="2B081B8B" w14:textId="06563B7F" w:rsidR="008F2D9E" w:rsidRPr="00726B8C" w:rsidRDefault="008F2D9E" w:rsidP="00FA7285">
      <w:pPr>
        <w:pStyle w:val="ListParagraph"/>
      </w:pPr>
      <w:r w:rsidRPr="00726B8C">
        <w:t>Separation and Divorce</w:t>
      </w:r>
      <w:r w:rsidR="00026E60">
        <w:t xml:space="preserve"> queries</w:t>
      </w:r>
      <w:r w:rsidRPr="00726B8C">
        <w:t xml:space="preserve"> are down </w:t>
      </w:r>
      <w:r w:rsidR="00CD4269">
        <w:t>15.4</w:t>
      </w:r>
      <w:r w:rsidRPr="00726B8C">
        <w:t>% (</w:t>
      </w:r>
      <w:r w:rsidR="00CD4269">
        <w:t>954</w:t>
      </w:r>
      <w:r w:rsidRPr="00726B8C">
        <w:t>).</w:t>
      </w:r>
    </w:p>
    <w:p w14:paraId="71156282" w14:textId="013E3EDE" w:rsidR="008F2D9E" w:rsidRPr="00726B8C" w:rsidRDefault="008F2D9E" w:rsidP="00FA7285">
      <w:pPr>
        <w:pStyle w:val="ListParagraph"/>
      </w:pPr>
      <w:r w:rsidRPr="00726B8C">
        <w:t>Maintenance queries d</w:t>
      </w:r>
      <w:r w:rsidR="00CD4269">
        <w:t>ropped</w:t>
      </w:r>
      <w:r w:rsidRPr="00726B8C">
        <w:t xml:space="preserve"> by </w:t>
      </w:r>
      <w:r w:rsidR="00CD4269">
        <w:t>23.6</w:t>
      </w:r>
      <w:r w:rsidRPr="00726B8C">
        <w:t>% (</w:t>
      </w:r>
      <w:r w:rsidR="00CD4269">
        <w:t>41</w:t>
      </w:r>
      <w:r w:rsidRPr="00726B8C">
        <w:t>1).</w:t>
      </w:r>
    </w:p>
    <w:p w14:paraId="5C710C36" w14:textId="0909C571" w:rsidR="008F2D9E" w:rsidRDefault="008F2D9E" w:rsidP="00FA7285">
      <w:pPr>
        <w:pStyle w:val="ListParagraph"/>
      </w:pPr>
      <w:r w:rsidRPr="00726B8C">
        <w:t>Custody and Access queries dropped by 1</w:t>
      </w:r>
      <w:r w:rsidR="00CD4269">
        <w:t>1.9</w:t>
      </w:r>
      <w:r w:rsidRPr="00726B8C">
        <w:t>% (3</w:t>
      </w:r>
      <w:r w:rsidR="00CD4269">
        <w:t>11</w:t>
      </w:r>
      <w:r w:rsidRPr="00726B8C">
        <w:t>).</w:t>
      </w:r>
    </w:p>
    <w:p w14:paraId="27BF74AE" w14:textId="53646FCF" w:rsidR="00CD4269" w:rsidRPr="00726B8C" w:rsidRDefault="00CD4269" w:rsidP="00FA7285">
      <w:pPr>
        <w:pStyle w:val="ListParagraph"/>
      </w:pPr>
      <w:r>
        <w:t xml:space="preserve">Domestic Violence </w:t>
      </w:r>
      <w:r w:rsidR="00026E60">
        <w:t xml:space="preserve">queries </w:t>
      </w:r>
      <w:r>
        <w:t>calls decreased by 11.1% (240).</w:t>
      </w:r>
    </w:p>
    <w:p w14:paraId="77EE5E89" w14:textId="6ACE3B99" w:rsidR="008F2D9E" w:rsidRPr="00726B8C" w:rsidRDefault="008F2D9E" w:rsidP="00FA7285">
      <w:pPr>
        <w:pStyle w:val="ListParagraph"/>
      </w:pPr>
      <w:r w:rsidRPr="00726B8C">
        <w:t>Problems in Marriages and Relationships queries decreased by 17</w:t>
      </w:r>
      <w:r w:rsidR="00CD4269">
        <w:t>.2</w:t>
      </w:r>
      <w:r w:rsidRPr="00726B8C">
        <w:t>% (</w:t>
      </w:r>
      <w:r w:rsidR="00CD4269">
        <w:t>240</w:t>
      </w:r>
      <w:r w:rsidRPr="00726B8C">
        <w:t>).</w:t>
      </w:r>
    </w:p>
    <w:p w14:paraId="0EADB5B1" w14:textId="47B7C383" w:rsidR="008F2D9E" w:rsidRPr="00726B8C" w:rsidRDefault="008F2D9E" w:rsidP="008F2D9E">
      <w:r w:rsidRPr="00860A5D">
        <w:rPr>
          <w:rStyle w:val="Heading2Char"/>
        </w:rPr>
        <w:t>Education and Training</w:t>
      </w:r>
      <w:r w:rsidRPr="00726B8C">
        <w:t xml:space="preserve"> queries </w:t>
      </w:r>
      <w:r w:rsidR="00CD4269">
        <w:t>increased</w:t>
      </w:r>
      <w:r w:rsidRPr="00726B8C">
        <w:t xml:space="preserve"> by 11</w:t>
      </w:r>
      <w:r w:rsidR="00CD4269">
        <w:t>.6</w:t>
      </w:r>
      <w:r w:rsidRPr="00726B8C">
        <w:t>% (</w:t>
      </w:r>
      <w:r w:rsidR="00CD4269">
        <w:t>3,011</w:t>
      </w:r>
      <w:r w:rsidRPr="00726B8C">
        <w:t xml:space="preserve"> queries).</w:t>
      </w:r>
    </w:p>
    <w:p w14:paraId="39200DF5" w14:textId="1BE2850B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Queries relating to Third-Level Education </w:t>
      </w:r>
      <w:r w:rsidR="00CD4269" w:rsidRPr="001E60A9">
        <w:rPr>
          <w:b/>
          <w:bCs w:val="0"/>
        </w:rPr>
        <w:t>grew</w:t>
      </w:r>
      <w:r w:rsidRPr="001E60A9">
        <w:rPr>
          <w:b/>
          <w:bCs w:val="0"/>
        </w:rPr>
        <w:t xml:space="preserve"> by 1</w:t>
      </w:r>
      <w:r w:rsidR="00CD4269" w:rsidRPr="001E60A9">
        <w:rPr>
          <w:b/>
          <w:bCs w:val="0"/>
        </w:rPr>
        <w:t>5</w:t>
      </w:r>
      <w:r w:rsidRPr="001E60A9">
        <w:rPr>
          <w:b/>
          <w:bCs w:val="0"/>
        </w:rPr>
        <w:t>% (1,</w:t>
      </w:r>
      <w:r w:rsidR="00CD4269" w:rsidRPr="001E60A9">
        <w:rPr>
          <w:b/>
          <w:bCs w:val="0"/>
        </w:rPr>
        <w:t>2</w:t>
      </w:r>
      <w:r w:rsidRPr="001E60A9">
        <w:rPr>
          <w:b/>
          <w:bCs w:val="0"/>
        </w:rPr>
        <w:t>5</w:t>
      </w:r>
      <w:r w:rsidR="00CD4269" w:rsidRPr="001E60A9">
        <w:rPr>
          <w:b/>
          <w:bCs w:val="0"/>
        </w:rPr>
        <w:t>9</w:t>
      </w:r>
      <w:r w:rsidRPr="001E60A9">
        <w:rPr>
          <w:b/>
          <w:bCs w:val="0"/>
        </w:rPr>
        <w:t>).</w:t>
      </w:r>
    </w:p>
    <w:p w14:paraId="1DC454DC" w14:textId="315EB174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Vocational Education and Training queries increased by </w:t>
      </w:r>
      <w:r w:rsidR="00CD4269" w:rsidRPr="001E60A9">
        <w:rPr>
          <w:b/>
          <w:bCs w:val="0"/>
        </w:rPr>
        <w:t>27.9</w:t>
      </w:r>
      <w:r w:rsidRPr="001E60A9">
        <w:rPr>
          <w:b/>
          <w:bCs w:val="0"/>
        </w:rPr>
        <w:t>% (</w:t>
      </w:r>
      <w:r w:rsidR="00CD4269" w:rsidRPr="001E60A9">
        <w:rPr>
          <w:b/>
          <w:bCs w:val="0"/>
        </w:rPr>
        <w:t>481</w:t>
      </w:r>
      <w:r w:rsidRPr="001E60A9">
        <w:rPr>
          <w:b/>
          <w:bCs w:val="0"/>
        </w:rPr>
        <w:t>).</w:t>
      </w:r>
    </w:p>
    <w:p w14:paraId="0FF84222" w14:textId="07524D25" w:rsidR="008F2D9E" w:rsidRDefault="008F2D9E" w:rsidP="008F2D9E">
      <w:r w:rsidRPr="00860A5D">
        <w:rPr>
          <w:rStyle w:val="Heading2Char"/>
        </w:rPr>
        <w:t>Consumer Affairs</w:t>
      </w:r>
      <w:r w:rsidRPr="00726B8C">
        <w:t xml:space="preserve"> queries dropped by</w:t>
      </w:r>
      <w:r w:rsidR="00CD4269">
        <w:t xml:space="preserve"> 10.8</w:t>
      </w:r>
      <w:r w:rsidRPr="00726B8C">
        <w:t>% (2,</w:t>
      </w:r>
      <w:r w:rsidR="00CD4269">
        <w:t>405</w:t>
      </w:r>
      <w:r w:rsidRPr="00726B8C">
        <w:t>).</w:t>
      </w:r>
    </w:p>
    <w:p w14:paraId="25723D10" w14:textId="087F2E65" w:rsidR="00CD4269" w:rsidRPr="00726B8C" w:rsidRDefault="00CD4269" w:rsidP="00FA7285">
      <w:pPr>
        <w:pStyle w:val="ListParagraph"/>
      </w:pPr>
      <w:r w:rsidRPr="00726B8C">
        <w:t xml:space="preserve">Queries relating to </w:t>
      </w:r>
      <w:r>
        <w:t>C</w:t>
      </w:r>
      <w:r w:rsidRPr="00726B8C">
        <w:t xml:space="preserve">onsumer </w:t>
      </w:r>
      <w:r>
        <w:t>P</w:t>
      </w:r>
      <w:r w:rsidRPr="00726B8C">
        <w:t xml:space="preserve">rotection decreased by </w:t>
      </w:r>
      <w:r>
        <w:t>13.1</w:t>
      </w:r>
      <w:r w:rsidRPr="00726B8C">
        <w:t>% (5</w:t>
      </w:r>
      <w:r>
        <w:t>42</w:t>
      </w:r>
      <w:r w:rsidRPr="00726B8C">
        <w:t>).</w:t>
      </w:r>
    </w:p>
    <w:p w14:paraId="4752E2B5" w14:textId="7F48F2A3" w:rsidR="00CD4269" w:rsidRDefault="008F2D9E" w:rsidP="00FA7285">
      <w:pPr>
        <w:pStyle w:val="ListParagraph"/>
      </w:pPr>
      <w:r w:rsidRPr="00726B8C">
        <w:t>Energy/ Utilities Services queries declined by 3</w:t>
      </w:r>
      <w:r w:rsidR="00CD4269">
        <w:t>0.8</w:t>
      </w:r>
      <w:r w:rsidRPr="00726B8C">
        <w:t>% (4</w:t>
      </w:r>
      <w:r w:rsidR="00CD4269">
        <w:t>04</w:t>
      </w:r>
      <w:r w:rsidRPr="00726B8C">
        <w:t>).</w:t>
      </w:r>
      <w:r w:rsidR="00CD4269">
        <w:br/>
      </w:r>
    </w:p>
    <w:p w14:paraId="2DD75D39" w14:textId="395A2421" w:rsidR="008F2D9E" w:rsidRPr="00726B8C" w:rsidRDefault="008F2D9E" w:rsidP="00CD4269">
      <w:r w:rsidRPr="00860A5D">
        <w:rPr>
          <w:rStyle w:val="Heading2Char"/>
        </w:rPr>
        <w:t>Government in Ireland</w:t>
      </w:r>
      <w:r w:rsidRPr="00726B8C">
        <w:t xml:space="preserve"> queries </w:t>
      </w:r>
      <w:r w:rsidR="00CD4269">
        <w:t>increased by 11.9%</w:t>
      </w:r>
      <w:r w:rsidRPr="00726B8C">
        <w:t xml:space="preserve"> (1,</w:t>
      </w:r>
      <w:r w:rsidR="00CD4269">
        <w:t>345</w:t>
      </w:r>
      <w:r w:rsidRPr="00726B8C">
        <w:t>).</w:t>
      </w:r>
    </w:p>
    <w:p w14:paraId="3A20150C" w14:textId="2C9D22FF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>MyGovID queries increased by 1</w:t>
      </w:r>
      <w:r w:rsidR="00CD4269" w:rsidRPr="001E60A9">
        <w:rPr>
          <w:b/>
          <w:bCs w:val="0"/>
        </w:rPr>
        <w:t>2.4</w:t>
      </w:r>
      <w:r w:rsidRPr="001E60A9">
        <w:rPr>
          <w:b/>
          <w:bCs w:val="0"/>
        </w:rPr>
        <w:t>% (</w:t>
      </w:r>
      <w:r w:rsidR="00CD4269" w:rsidRPr="001E60A9">
        <w:rPr>
          <w:b/>
          <w:bCs w:val="0"/>
        </w:rPr>
        <w:t>452</w:t>
      </w:r>
      <w:r w:rsidRPr="001E60A9">
        <w:rPr>
          <w:b/>
          <w:bCs w:val="0"/>
        </w:rPr>
        <w:t>).</w:t>
      </w:r>
    </w:p>
    <w:p w14:paraId="74E245E4" w14:textId="56AA87A7" w:rsidR="00CD4269" w:rsidRPr="001E60A9" w:rsidRDefault="00CD4269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>Elections and Referenda increased by 602.5% (281).</w:t>
      </w:r>
    </w:p>
    <w:p w14:paraId="7BD42FD1" w14:textId="77777777" w:rsidR="008F2D9E" w:rsidRPr="00726B8C" w:rsidRDefault="008F2D9E" w:rsidP="008F2D9E">
      <w:r w:rsidRPr="00860A5D">
        <w:rPr>
          <w:rStyle w:val="Heading2Char"/>
        </w:rPr>
        <w:t>Death and Bereavement</w:t>
      </w:r>
      <w:r w:rsidRPr="00726B8C">
        <w:t xml:space="preserve"> queries declined by 8.3% (1,363).</w:t>
      </w:r>
    </w:p>
    <w:p w14:paraId="163B698D" w14:textId="2F9E35AC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The Deceased’s Estate queries </w:t>
      </w:r>
      <w:r w:rsidR="00CD4269" w:rsidRPr="001E60A9">
        <w:rPr>
          <w:b/>
          <w:bCs w:val="0"/>
        </w:rPr>
        <w:t xml:space="preserve">increased </w:t>
      </w:r>
      <w:r w:rsidRPr="001E60A9">
        <w:rPr>
          <w:b/>
          <w:bCs w:val="0"/>
        </w:rPr>
        <w:t>by 6.</w:t>
      </w:r>
      <w:r w:rsidR="00CD4269" w:rsidRPr="001E60A9">
        <w:rPr>
          <w:b/>
          <w:bCs w:val="0"/>
        </w:rPr>
        <w:t>5</w:t>
      </w:r>
      <w:r w:rsidRPr="001E60A9">
        <w:rPr>
          <w:b/>
          <w:bCs w:val="0"/>
        </w:rPr>
        <w:t>% (</w:t>
      </w:r>
      <w:r w:rsidR="00CD4269" w:rsidRPr="001E60A9">
        <w:rPr>
          <w:b/>
          <w:bCs w:val="0"/>
        </w:rPr>
        <w:t>346</w:t>
      </w:r>
      <w:r w:rsidRPr="001E60A9">
        <w:rPr>
          <w:b/>
          <w:bCs w:val="0"/>
        </w:rPr>
        <w:t>).</w:t>
      </w:r>
    </w:p>
    <w:p w14:paraId="004D0D2F" w14:textId="616EF871" w:rsidR="008F2D9E" w:rsidRPr="001E60A9" w:rsidRDefault="008F2D9E" w:rsidP="00FA7285">
      <w:pPr>
        <w:pStyle w:val="ListParagraph"/>
        <w:rPr>
          <w:b/>
          <w:bCs w:val="0"/>
        </w:rPr>
      </w:pPr>
      <w:r w:rsidRPr="001E60A9">
        <w:rPr>
          <w:b/>
          <w:bCs w:val="0"/>
        </w:rPr>
        <w:t xml:space="preserve">Before Death queries </w:t>
      </w:r>
      <w:r w:rsidR="00CD4269" w:rsidRPr="001E60A9">
        <w:rPr>
          <w:b/>
          <w:bCs w:val="0"/>
        </w:rPr>
        <w:t>increased by 27</w:t>
      </w:r>
      <w:r w:rsidRPr="001E60A9">
        <w:rPr>
          <w:b/>
          <w:bCs w:val="0"/>
        </w:rPr>
        <w:t>% (</w:t>
      </w:r>
      <w:r w:rsidR="00CD4269" w:rsidRPr="001E60A9">
        <w:rPr>
          <w:b/>
          <w:bCs w:val="0"/>
        </w:rPr>
        <w:t>306</w:t>
      </w:r>
      <w:r w:rsidRPr="001E60A9">
        <w:rPr>
          <w:b/>
          <w:bCs w:val="0"/>
        </w:rPr>
        <w:t>)</w:t>
      </w:r>
      <w:r w:rsidR="00CD4269" w:rsidRPr="001E60A9">
        <w:rPr>
          <w:b/>
          <w:bCs w:val="0"/>
        </w:rPr>
        <w:t>.</w:t>
      </w:r>
    </w:p>
    <w:p w14:paraId="26FF7814" w14:textId="77777777" w:rsidR="008F2D9E" w:rsidRPr="00726B8C" w:rsidRDefault="008F2D9E" w:rsidP="0002338D">
      <w:pPr>
        <w:ind w:left="1080"/>
      </w:pPr>
    </w:p>
    <w:p w14:paraId="31AE4CFE" w14:textId="77777777" w:rsidR="008F2D9E" w:rsidRPr="00726B8C" w:rsidRDefault="008F2D9E" w:rsidP="0002338D">
      <w:pPr>
        <w:ind w:left="1080"/>
      </w:pPr>
    </w:p>
    <w:p w14:paraId="06CC7735" w14:textId="77777777" w:rsidR="008F2D9E" w:rsidRPr="00726B8C" w:rsidRDefault="008F2D9E" w:rsidP="0002338D">
      <w:pPr>
        <w:ind w:left="1080"/>
      </w:pPr>
    </w:p>
    <w:p w14:paraId="6D05D1F1" w14:textId="77777777" w:rsidR="008F2D9E" w:rsidRPr="00726B8C" w:rsidRDefault="008F2D9E" w:rsidP="0002338D">
      <w:pPr>
        <w:ind w:left="1080"/>
      </w:pPr>
    </w:p>
    <w:p w14:paraId="6AF7EDC9" w14:textId="77777777" w:rsidR="00942712" w:rsidRPr="0038793B" w:rsidRDefault="00942712" w:rsidP="00942712">
      <w:pPr>
        <w:spacing w:line="240" w:lineRule="auto"/>
        <w:rPr>
          <w:sz w:val="20"/>
          <w:szCs w:val="20"/>
          <w:lang w:val="en-US"/>
        </w:rPr>
      </w:pPr>
    </w:p>
    <w:sectPr w:rsidR="00942712" w:rsidRPr="0038793B" w:rsidSect="00586C6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64BC" w14:textId="77777777" w:rsidR="008B4792" w:rsidRPr="00726B8C" w:rsidRDefault="008B4792" w:rsidP="00942712">
      <w:pPr>
        <w:spacing w:after="0" w:line="240" w:lineRule="auto"/>
      </w:pPr>
      <w:r w:rsidRPr="00726B8C">
        <w:separator/>
      </w:r>
    </w:p>
  </w:endnote>
  <w:endnote w:type="continuationSeparator" w:id="0">
    <w:p w14:paraId="77E5EDC8" w14:textId="77777777" w:rsidR="008B4792" w:rsidRPr="00726B8C" w:rsidRDefault="008B4792" w:rsidP="00942712">
      <w:pPr>
        <w:spacing w:after="0" w:line="240" w:lineRule="auto"/>
      </w:pPr>
      <w:r w:rsidRPr="00726B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900264"/>
      <w:docPartObj>
        <w:docPartGallery w:val="Page Numbers (Bottom of Page)"/>
        <w:docPartUnique/>
      </w:docPartObj>
    </w:sdtPr>
    <w:sdtEndPr/>
    <w:sdtContent>
      <w:p w14:paraId="736CC53A" w14:textId="44CF8F10" w:rsidR="001A7B46" w:rsidRPr="00726B8C" w:rsidRDefault="001A7B46">
        <w:pPr>
          <w:jc w:val="right"/>
        </w:pPr>
        <w:r w:rsidRPr="00726B8C">
          <w:fldChar w:fldCharType="begin"/>
        </w:r>
        <w:r w:rsidRPr="00726B8C">
          <w:instrText xml:space="preserve"> PAGE   \* MERGEFORMAT </w:instrText>
        </w:r>
        <w:r w:rsidRPr="00726B8C">
          <w:fldChar w:fldCharType="separate"/>
        </w:r>
        <w:r w:rsidR="009332BF" w:rsidRPr="00726B8C">
          <w:t>1</w:t>
        </w:r>
        <w:r w:rsidRPr="00726B8C">
          <w:fldChar w:fldCharType="end"/>
        </w:r>
      </w:p>
    </w:sdtContent>
  </w:sdt>
  <w:p w14:paraId="2ED73A08" w14:textId="77777777" w:rsidR="001A7B46" w:rsidRPr="00726B8C" w:rsidRDefault="001A7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8BAC" w14:textId="77777777" w:rsidR="008B4792" w:rsidRPr="00726B8C" w:rsidRDefault="008B4792" w:rsidP="00942712">
      <w:pPr>
        <w:spacing w:after="0" w:line="240" w:lineRule="auto"/>
      </w:pPr>
      <w:r w:rsidRPr="00726B8C">
        <w:separator/>
      </w:r>
    </w:p>
  </w:footnote>
  <w:footnote w:type="continuationSeparator" w:id="0">
    <w:p w14:paraId="3371554F" w14:textId="77777777" w:rsidR="008B4792" w:rsidRPr="00726B8C" w:rsidRDefault="008B4792" w:rsidP="00942712">
      <w:pPr>
        <w:spacing w:after="0" w:line="240" w:lineRule="auto"/>
      </w:pPr>
      <w:r w:rsidRPr="00726B8C">
        <w:continuationSeparator/>
      </w:r>
    </w:p>
  </w:footnote>
  <w:footnote w:id="1">
    <w:p w14:paraId="5C0CE047" w14:textId="085C625A" w:rsidR="00D065B1" w:rsidRDefault="00D0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6B8C">
        <w:t xml:space="preserve">Quarterly query trends are </w:t>
      </w:r>
      <w:r w:rsidRPr="00860A5D">
        <w:t>not</w:t>
      </w:r>
      <w:r w:rsidR="00860A5D" w:rsidRPr="00860A5D">
        <w:t xml:space="preserve"> necessarily</w:t>
      </w:r>
      <w:r w:rsidRPr="00726B8C">
        <w:t xml:space="preserve"> indicative of trends for a full year’s dataset – changes and patterns reflected from quarter to quarter may balance out over a year. </w:t>
      </w:r>
    </w:p>
  </w:footnote>
  <w:footnote w:id="2">
    <w:p w14:paraId="4D3D3CEC" w14:textId="30DC0F51" w:rsidR="00D065B1" w:rsidRPr="00726B8C" w:rsidRDefault="00D065B1" w:rsidP="00D0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6B8C">
        <w:t>The percentage changes captured in this report reflect comparisons between Q</w:t>
      </w:r>
      <w:r w:rsidR="00F46AAE">
        <w:t>4</w:t>
      </w:r>
      <w:r w:rsidR="00860A5D">
        <w:t>,</w:t>
      </w:r>
      <w:r w:rsidRPr="00726B8C">
        <w:t xml:space="preserve"> 2023 and Q</w:t>
      </w:r>
      <w:r w:rsidR="00F46AAE">
        <w:t>4</w:t>
      </w:r>
      <w:r w:rsidR="00860A5D">
        <w:t>,</w:t>
      </w:r>
      <w:r w:rsidRPr="00726B8C">
        <w:t xml:space="preserve"> 2024 unless otherwise specified.</w:t>
      </w:r>
    </w:p>
    <w:p w14:paraId="07EDD5B6" w14:textId="41570A64" w:rsidR="00D065B1" w:rsidRDefault="00D065B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2BA"/>
    <w:multiLevelType w:val="hybridMultilevel"/>
    <w:tmpl w:val="659220BE"/>
    <w:lvl w:ilvl="0" w:tplc="2D80EC9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18090001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3449"/>
    <w:multiLevelType w:val="hybridMultilevel"/>
    <w:tmpl w:val="370E5F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60343"/>
    <w:multiLevelType w:val="hybridMultilevel"/>
    <w:tmpl w:val="8388946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855D8F"/>
    <w:multiLevelType w:val="hybridMultilevel"/>
    <w:tmpl w:val="F53816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2F21"/>
    <w:multiLevelType w:val="hybridMultilevel"/>
    <w:tmpl w:val="2448475E"/>
    <w:lvl w:ilvl="0" w:tplc="EED2867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27C4B"/>
    <w:multiLevelType w:val="hybridMultilevel"/>
    <w:tmpl w:val="719A8CD0"/>
    <w:lvl w:ilvl="0" w:tplc="776CC5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06ECA"/>
    <w:multiLevelType w:val="hybridMultilevel"/>
    <w:tmpl w:val="626C206A"/>
    <w:lvl w:ilvl="0" w:tplc="7960E818">
      <w:start w:val="9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F976975"/>
    <w:multiLevelType w:val="hybridMultilevel"/>
    <w:tmpl w:val="53F4463A"/>
    <w:lvl w:ilvl="0" w:tplc="6AB4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16F9"/>
    <w:multiLevelType w:val="hybridMultilevel"/>
    <w:tmpl w:val="29B69B5E"/>
    <w:lvl w:ilvl="0" w:tplc="F32A35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C0999"/>
    <w:multiLevelType w:val="hybridMultilevel"/>
    <w:tmpl w:val="B58C5412"/>
    <w:lvl w:ilvl="0" w:tplc="9D8ED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8763">
    <w:abstractNumId w:val="14"/>
  </w:num>
  <w:num w:numId="2" w16cid:durableId="320475971">
    <w:abstractNumId w:val="7"/>
  </w:num>
  <w:num w:numId="3" w16cid:durableId="263805428">
    <w:abstractNumId w:val="1"/>
  </w:num>
  <w:num w:numId="4" w16cid:durableId="327708081">
    <w:abstractNumId w:val="3"/>
  </w:num>
  <w:num w:numId="5" w16cid:durableId="1820345170">
    <w:abstractNumId w:val="12"/>
  </w:num>
  <w:num w:numId="6" w16cid:durableId="1168131656">
    <w:abstractNumId w:val="15"/>
  </w:num>
  <w:num w:numId="7" w16cid:durableId="1519587402">
    <w:abstractNumId w:val="18"/>
  </w:num>
  <w:num w:numId="8" w16cid:durableId="1225409336">
    <w:abstractNumId w:val="2"/>
  </w:num>
  <w:num w:numId="9" w16cid:durableId="1943024192">
    <w:abstractNumId w:val="5"/>
  </w:num>
  <w:num w:numId="10" w16cid:durableId="223417068">
    <w:abstractNumId w:val="13"/>
  </w:num>
  <w:num w:numId="11" w16cid:durableId="720055184">
    <w:abstractNumId w:val="6"/>
  </w:num>
  <w:num w:numId="12" w16cid:durableId="947859852">
    <w:abstractNumId w:val="8"/>
  </w:num>
  <w:num w:numId="13" w16cid:durableId="692271513">
    <w:abstractNumId w:val="17"/>
  </w:num>
  <w:num w:numId="14" w16cid:durableId="1083600349">
    <w:abstractNumId w:val="16"/>
  </w:num>
  <w:num w:numId="15" w16cid:durableId="1267270101">
    <w:abstractNumId w:val="15"/>
  </w:num>
  <w:num w:numId="16" w16cid:durableId="1367560060">
    <w:abstractNumId w:val="11"/>
  </w:num>
  <w:num w:numId="17" w16cid:durableId="1323972272">
    <w:abstractNumId w:val="17"/>
  </w:num>
  <w:num w:numId="18" w16cid:durableId="1694766086">
    <w:abstractNumId w:val="17"/>
  </w:num>
  <w:num w:numId="19" w16cid:durableId="1911650667">
    <w:abstractNumId w:val="10"/>
  </w:num>
  <w:num w:numId="20" w16cid:durableId="1557933214">
    <w:abstractNumId w:val="0"/>
  </w:num>
  <w:num w:numId="21" w16cid:durableId="1474056115">
    <w:abstractNumId w:val="0"/>
  </w:num>
  <w:num w:numId="22" w16cid:durableId="501774280">
    <w:abstractNumId w:val="0"/>
  </w:num>
  <w:num w:numId="23" w16cid:durableId="515268501">
    <w:abstractNumId w:val="4"/>
  </w:num>
  <w:num w:numId="24" w16cid:durableId="1452241573">
    <w:abstractNumId w:val="9"/>
  </w:num>
  <w:num w:numId="25" w16cid:durableId="68479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DYxMzKyMDA2NrdU0lEKTi0uzszPAymwqAUA/ntF0CwAAAA="/>
  </w:docVars>
  <w:rsids>
    <w:rsidRoot w:val="00942712"/>
    <w:rsid w:val="00001C49"/>
    <w:rsid w:val="00003607"/>
    <w:rsid w:val="00014EAA"/>
    <w:rsid w:val="0002198B"/>
    <w:rsid w:val="0002338D"/>
    <w:rsid w:val="00023782"/>
    <w:rsid w:val="000268F8"/>
    <w:rsid w:val="00026E60"/>
    <w:rsid w:val="0002700A"/>
    <w:rsid w:val="00030A86"/>
    <w:rsid w:val="00030DE2"/>
    <w:rsid w:val="00031A64"/>
    <w:rsid w:val="0003612F"/>
    <w:rsid w:val="00036978"/>
    <w:rsid w:val="00037DDC"/>
    <w:rsid w:val="000430B2"/>
    <w:rsid w:val="000432A1"/>
    <w:rsid w:val="0004776E"/>
    <w:rsid w:val="0005503A"/>
    <w:rsid w:val="00064DBE"/>
    <w:rsid w:val="00065715"/>
    <w:rsid w:val="000661B2"/>
    <w:rsid w:val="000719E2"/>
    <w:rsid w:val="00072789"/>
    <w:rsid w:val="000757F3"/>
    <w:rsid w:val="00075AE9"/>
    <w:rsid w:val="00083099"/>
    <w:rsid w:val="00094521"/>
    <w:rsid w:val="00094B27"/>
    <w:rsid w:val="00094DB8"/>
    <w:rsid w:val="00096551"/>
    <w:rsid w:val="000A0203"/>
    <w:rsid w:val="000A4208"/>
    <w:rsid w:val="000A50A0"/>
    <w:rsid w:val="000B4057"/>
    <w:rsid w:val="000B4AE2"/>
    <w:rsid w:val="000B50C5"/>
    <w:rsid w:val="000B641A"/>
    <w:rsid w:val="000B7ED0"/>
    <w:rsid w:val="000C13AB"/>
    <w:rsid w:val="000C3899"/>
    <w:rsid w:val="000C6DC1"/>
    <w:rsid w:val="000C72D6"/>
    <w:rsid w:val="000D1AA7"/>
    <w:rsid w:val="000D1DC4"/>
    <w:rsid w:val="000D238E"/>
    <w:rsid w:val="000D720F"/>
    <w:rsid w:val="000E0C2C"/>
    <w:rsid w:val="000E1B97"/>
    <w:rsid w:val="000E388D"/>
    <w:rsid w:val="000E3C4A"/>
    <w:rsid w:val="000E4E5C"/>
    <w:rsid w:val="000E5AE4"/>
    <w:rsid w:val="000E5BCF"/>
    <w:rsid w:val="000E64DF"/>
    <w:rsid w:val="000E73ED"/>
    <w:rsid w:val="000E7F61"/>
    <w:rsid w:val="000F2D59"/>
    <w:rsid w:val="000F47A6"/>
    <w:rsid w:val="001036E8"/>
    <w:rsid w:val="00111C28"/>
    <w:rsid w:val="00111E9A"/>
    <w:rsid w:val="00115A06"/>
    <w:rsid w:val="00125B60"/>
    <w:rsid w:val="00130FF9"/>
    <w:rsid w:val="00131F8C"/>
    <w:rsid w:val="00137E6B"/>
    <w:rsid w:val="00142D68"/>
    <w:rsid w:val="00144122"/>
    <w:rsid w:val="00150336"/>
    <w:rsid w:val="00150C36"/>
    <w:rsid w:val="00153593"/>
    <w:rsid w:val="00155A88"/>
    <w:rsid w:val="001616F9"/>
    <w:rsid w:val="00163323"/>
    <w:rsid w:val="00167A39"/>
    <w:rsid w:val="00167F0D"/>
    <w:rsid w:val="00171C29"/>
    <w:rsid w:val="00173A5F"/>
    <w:rsid w:val="001747EC"/>
    <w:rsid w:val="00174A1A"/>
    <w:rsid w:val="00174D7C"/>
    <w:rsid w:val="00180622"/>
    <w:rsid w:val="00181434"/>
    <w:rsid w:val="0018162A"/>
    <w:rsid w:val="001821C7"/>
    <w:rsid w:val="001831C9"/>
    <w:rsid w:val="001862DA"/>
    <w:rsid w:val="00187F02"/>
    <w:rsid w:val="00190935"/>
    <w:rsid w:val="00194D45"/>
    <w:rsid w:val="00196576"/>
    <w:rsid w:val="00197D7A"/>
    <w:rsid w:val="001A21F2"/>
    <w:rsid w:val="001A4878"/>
    <w:rsid w:val="001A669C"/>
    <w:rsid w:val="001A673E"/>
    <w:rsid w:val="001A7B46"/>
    <w:rsid w:val="001B491F"/>
    <w:rsid w:val="001B6988"/>
    <w:rsid w:val="001C26DD"/>
    <w:rsid w:val="001C440E"/>
    <w:rsid w:val="001D0370"/>
    <w:rsid w:val="001D1491"/>
    <w:rsid w:val="001D3F80"/>
    <w:rsid w:val="001D4CBC"/>
    <w:rsid w:val="001D6F3E"/>
    <w:rsid w:val="001E065D"/>
    <w:rsid w:val="001E0C97"/>
    <w:rsid w:val="001E60A9"/>
    <w:rsid w:val="001E6C10"/>
    <w:rsid w:val="001E6C40"/>
    <w:rsid w:val="001F1B35"/>
    <w:rsid w:val="001F1BB4"/>
    <w:rsid w:val="001F4F60"/>
    <w:rsid w:val="0020070F"/>
    <w:rsid w:val="0020282F"/>
    <w:rsid w:val="002041A1"/>
    <w:rsid w:val="002052AB"/>
    <w:rsid w:val="00205F8F"/>
    <w:rsid w:val="00207251"/>
    <w:rsid w:val="00213857"/>
    <w:rsid w:val="00213E79"/>
    <w:rsid w:val="00214364"/>
    <w:rsid w:val="00214431"/>
    <w:rsid w:val="00222192"/>
    <w:rsid w:val="002225C6"/>
    <w:rsid w:val="00222F9F"/>
    <w:rsid w:val="002232FC"/>
    <w:rsid w:val="002233C5"/>
    <w:rsid w:val="002316CF"/>
    <w:rsid w:val="00234402"/>
    <w:rsid w:val="00240917"/>
    <w:rsid w:val="0024193D"/>
    <w:rsid w:val="002434C4"/>
    <w:rsid w:val="002454FF"/>
    <w:rsid w:val="00246FD1"/>
    <w:rsid w:val="00247401"/>
    <w:rsid w:val="00247F09"/>
    <w:rsid w:val="00252438"/>
    <w:rsid w:val="0025314B"/>
    <w:rsid w:val="0025497A"/>
    <w:rsid w:val="002551DE"/>
    <w:rsid w:val="00255770"/>
    <w:rsid w:val="00263976"/>
    <w:rsid w:val="0026771C"/>
    <w:rsid w:val="00270616"/>
    <w:rsid w:val="00270A02"/>
    <w:rsid w:val="002778FD"/>
    <w:rsid w:val="00281105"/>
    <w:rsid w:val="00281273"/>
    <w:rsid w:val="0028186B"/>
    <w:rsid w:val="002846A0"/>
    <w:rsid w:val="00287B32"/>
    <w:rsid w:val="00287C39"/>
    <w:rsid w:val="00290362"/>
    <w:rsid w:val="00292356"/>
    <w:rsid w:val="00295608"/>
    <w:rsid w:val="00296592"/>
    <w:rsid w:val="00296CC2"/>
    <w:rsid w:val="00297D8F"/>
    <w:rsid w:val="002A2655"/>
    <w:rsid w:val="002A6DE8"/>
    <w:rsid w:val="002B2452"/>
    <w:rsid w:val="002B24A6"/>
    <w:rsid w:val="002B351A"/>
    <w:rsid w:val="002C10D3"/>
    <w:rsid w:val="002C13D3"/>
    <w:rsid w:val="002C2688"/>
    <w:rsid w:val="002C2CA4"/>
    <w:rsid w:val="002C3923"/>
    <w:rsid w:val="002C691A"/>
    <w:rsid w:val="002D1B39"/>
    <w:rsid w:val="002D35D0"/>
    <w:rsid w:val="002D394B"/>
    <w:rsid w:val="002E1F5F"/>
    <w:rsid w:val="002E5342"/>
    <w:rsid w:val="002E554D"/>
    <w:rsid w:val="002F0019"/>
    <w:rsid w:val="002F1CAA"/>
    <w:rsid w:val="002F6F7D"/>
    <w:rsid w:val="002F706D"/>
    <w:rsid w:val="003035DE"/>
    <w:rsid w:val="0030525D"/>
    <w:rsid w:val="00307D67"/>
    <w:rsid w:val="00311358"/>
    <w:rsid w:val="00312A69"/>
    <w:rsid w:val="00312FDE"/>
    <w:rsid w:val="003139E5"/>
    <w:rsid w:val="003141C8"/>
    <w:rsid w:val="003168A4"/>
    <w:rsid w:val="00335A24"/>
    <w:rsid w:val="00337BE2"/>
    <w:rsid w:val="003406AA"/>
    <w:rsid w:val="00340EEF"/>
    <w:rsid w:val="00342CCB"/>
    <w:rsid w:val="00357F1F"/>
    <w:rsid w:val="00361BA0"/>
    <w:rsid w:val="0036330F"/>
    <w:rsid w:val="00370518"/>
    <w:rsid w:val="003725EB"/>
    <w:rsid w:val="0037547C"/>
    <w:rsid w:val="00375593"/>
    <w:rsid w:val="00375B16"/>
    <w:rsid w:val="00375D29"/>
    <w:rsid w:val="00380586"/>
    <w:rsid w:val="00380705"/>
    <w:rsid w:val="00381A1A"/>
    <w:rsid w:val="00382BD5"/>
    <w:rsid w:val="00391A7E"/>
    <w:rsid w:val="003A1AE6"/>
    <w:rsid w:val="003A1AEF"/>
    <w:rsid w:val="003A4C7E"/>
    <w:rsid w:val="003A521C"/>
    <w:rsid w:val="003B0C40"/>
    <w:rsid w:val="003B1A3C"/>
    <w:rsid w:val="003B6AE5"/>
    <w:rsid w:val="003B6D4B"/>
    <w:rsid w:val="003C0D87"/>
    <w:rsid w:val="003C10C9"/>
    <w:rsid w:val="003C2008"/>
    <w:rsid w:val="003C67A3"/>
    <w:rsid w:val="003C7A08"/>
    <w:rsid w:val="003D090B"/>
    <w:rsid w:val="003D1294"/>
    <w:rsid w:val="003D207E"/>
    <w:rsid w:val="003D3EBE"/>
    <w:rsid w:val="003D56BF"/>
    <w:rsid w:val="003D7437"/>
    <w:rsid w:val="003E0733"/>
    <w:rsid w:val="003E2720"/>
    <w:rsid w:val="003E3424"/>
    <w:rsid w:val="003E60DC"/>
    <w:rsid w:val="003E6949"/>
    <w:rsid w:val="003E6FE7"/>
    <w:rsid w:val="003E7BB6"/>
    <w:rsid w:val="003F1ECB"/>
    <w:rsid w:val="003F39C2"/>
    <w:rsid w:val="003F505F"/>
    <w:rsid w:val="003F7F8D"/>
    <w:rsid w:val="0040035B"/>
    <w:rsid w:val="0040086E"/>
    <w:rsid w:val="00400A7D"/>
    <w:rsid w:val="004027EE"/>
    <w:rsid w:val="004058C3"/>
    <w:rsid w:val="004075D9"/>
    <w:rsid w:val="00407A25"/>
    <w:rsid w:val="00410428"/>
    <w:rsid w:val="00412F45"/>
    <w:rsid w:val="00414B79"/>
    <w:rsid w:val="00417A27"/>
    <w:rsid w:val="00420A38"/>
    <w:rsid w:val="00420C57"/>
    <w:rsid w:val="00421CF7"/>
    <w:rsid w:val="00421E9C"/>
    <w:rsid w:val="00422CFA"/>
    <w:rsid w:val="00422E6E"/>
    <w:rsid w:val="00423496"/>
    <w:rsid w:val="00423F96"/>
    <w:rsid w:val="004245A9"/>
    <w:rsid w:val="00425BF7"/>
    <w:rsid w:val="004323C7"/>
    <w:rsid w:val="004328EE"/>
    <w:rsid w:val="00435CBF"/>
    <w:rsid w:val="00437026"/>
    <w:rsid w:val="00444719"/>
    <w:rsid w:val="00445920"/>
    <w:rsid w:val="00446884"/>
    <w:rsid w:val="00450BBF"/>
    <w:rsid w:val="00462393"/>
    <w:rsid w:val="00463790"/>
    <w:rsid w:val="0046397B"/>
    <w:rsid w:val="00464F10"/>
    <w:rsid w:val="00465E0D"/>
    <w:rsid w:val="004677A8"/>
    <w:rsid w:val="00470A15"/>
    <w:rsid w:val="00473454"/>
    <w:rsid w:val="00474373"/>
    <w:rsid w:val="004745EA"/>
    <w:rsid w:val="00477E97"/>
    <w:rsid w:val="00483D8D"/>
    <w:rsid w:val="00484D83"/>
    <w:rsid w:val="00490E9F"/>
    <w:rsid w:val="00491200"/>
    <w:rsid w:val="00494089"/>
    <w:rsid w:val="00494240"/>
    <w:rsid w:val="004952B0"/>
    <w:rsid w:val="00496430"/>
    <w:rsid w:val="004A23E6"/>
    <w:rsid w:val="004A4BD5"/>
    <w:rsid w:val="004A5154"/>
    <w:rsid w:val="004B0CD0"/>
    <w:rsid w:val="004B1FD6"/>
    <w:rsid w:val="004B38C6"/>
    <w:rsid w:val="004B40BF"/>
    <w:rsid w:val="004B607F"/>
    <w:rsid w:val="004C0679"/>
    <w:rsid w:val="004C2206"/>
    <w:rsid w:val="004C2480"/>
    <w:rsid w:val="004C3B96"/>
    <w:rsid w:val="004C5626"/>
    <w:rsid w:val="004C5C06"/>
    <w:rsid w:val="004C75C2"/>
    <w:rsid w:val="004D109B"/>
    <w:rsid w:val="004D3E73"/>
    <w:rsid w:val="004D4EEB"/>
    <w:rsid w:val="004E0C5B"/>
    <w:rsid w:val="004E16B3"/>
    <w:rsid w:val="004E33AC"/>
    <w:rsid w:val="004E375C"/>
    <w:rsid w:val="004E3C4E"/>
    <w:rsid w:val="004E777D"/>
    <w:rsid w:val="004F1BDB"/>
    <w:rsid w:val="004F2256"/>
    <w:rsid w:val="004F5118"/>
    <w:rsid w:val="004F5D82"/>
    <w:rsid w:val="004F6CA9"/>
    <w:rsid w:val="004F7271"/>
    <w:rsid w:val="004F75EB"/>
    <w:rsid w:val="0050053C"/>
    <w:rsid w:val="00501A15"/>
    <w:rsid w:val="00504CD2"/>
    <w:rsid w:val="005050CC"/>
    <w:rsid w:val="005105BB"/>
    <w:rsid w:val="005144A1"/>
    <w:rsid w:val="00514530"/>
    <w:rsid w:val="00514EDC"/>
    <w:rsid w:val="0051562E"/>
    <w:rsid w:val="00520E1F"/>
    <w:rsid w:val="00523109"/>
    <w:rsid w:val="00523D7B"/>
    <w:rsid w:val="005278F5"/>
    <w:rsid w:val="00527AB3"/>
    <w:rsid w:val="00531FE7"/>
    <w:rsid w:val="0053759E"/>
    <w:rsid w:val="00537F12"/>
    <w:rsid w:val="005405A7"/>
    <w:rsid w:val="00546FE1"/>
    <w:rsid w:val="00551903"/>
    <w:rsid w:val="00552065"/>
    <w:rsid w:val="00553C57"/>
    <w:rsid w:val="005549ED"/>
    <w:rsid w:val="005553B8"/>
    <w:rsid w:val="00560983"/>
    <w:rsid w:val="00561B07"/>
    <w:rsid w:val="00563681"/>
    <w:rsid w:val="00564FB9"/>
    <w:rsid w:val="00565494"/>
    <w:rsid w:val="00565A5F"/>
    <w:rsid w:val="00571359"/>
    <w:rsid w:val="00571F1A"/>
    <w:rsid w:val="005727F6"/>
    <w:rsid w:val="00572EE9"/>
    <w:rsid w:val="00573608"/>
    <w:rsid w:val="00574F33"/>
    <w:rsid w:val="00574F95"/>
    <w:rsid w:val="00581FE7"/>
    <w:rsid w:val="005826A9"/>
    <w:rsid w:val="00586C6E"/>
    <w:rsid w:val="005923C4"/>
    <w:rsid w:val="00594846"/>
    <w:rsid w:val="00594D87"/>
    <w:rsid w:val="0059604A"/>
    <w:rsid w:val="005A2CF0"/>
    <w:rsid w:val="005A5D48"/>
    <w:rsid w:val="005B1FCA"/>
    <w:rsid w:val="005B4E2B"/>
    <w:rsid w:val="005B6D95"/>
    <w:rsid w:val="005B7591"/>
    <w:rsid w:val="005C084B"/>
    <w:rsid w:val="005C1732"/>
    <w:rsid w:val="005C42D8"/>
    <w:rsid w:val="005C6BAF"/>
    <w:rsid w:val="005C7EAF"/>
    <w:rsid w:val="005D1C3E"/>
    <w:rsid w:val="005D3A6C"/>
    <w:rsid w:val="005D4BFE"/>
    <w:rsid w:val="005D515D"/>
    <w:rsid w:val="005D6E97"/>
    <w:rsid w:val="005D74DE"/>
    <w:rsid w:val="005E0EEC"/>
    <w:rsid w:val="005E2554"/>
    <w:rsid w:val="005E2A7C"/>
    <w:rsid w:val="005E2E83"/>
    <w:rsid w:val="005E507A"/>
    <w:rsid w:val="005E5E7F"/>
    <w:rsid w:val="005E7BE2"/>
    <w:rsid w:val="005E7F49"/>
    <w:rsid w:val="005F0629"/>
    <w:rsid w:val="005F264A"/>
    <w:rsid w:val="005F312E"/>
    <w:rsid w:val="00601B72"/>
    <w:rsid w:val="00603919"/>
    <w:rsid w:val="00603F30"/>
    <w:rsid w:val="006041D5"/>
    <w:rsid w:val="006048AD"/>
    <w:rsid w:val="00607CE2"/>
    <w:rsid w:val="00610232"/>
    <w:rsid w:val="006106DF"/>
    <w:rsid w:val="0061564A"/>
    <w:rsid w:val="006179A7"/>
    <w:rsid w:val="00624209"/>
    <w:rsid w:val="00625FDF"/>
    <w:rsid w:val="006304D5"/>
    <w:rsid w:val="006306A2"/>
    <w:rsid w:val="00631664"/>
    <w:rsid w:val="0063253B"/>
    <w:rsid w:val="006406A8"/>
    <w:rsid w:val="00641F04"/>
    <w:rsid w:val="0064290B"/>
    <w:rsid w:val="0064378E"/>
    <w:rsid w:val="006447C9"/>
    <w:rsid w:val="00646E8A"/>
    <w:rsid w:val="00650D3F"/>
    <w:rsid w:val="006542EF"/>
    <w:rsid w:val="0065542A"/>
    <w:rsid w:val="00655ED9"/>
    <w:rsid w:val="00661F0F"/>
    <w:rsid w:val="0066350F"/>
    <w:rsid w:val="00663EF7"/>
    <w:rsid w:val="006653B2"/>
    <w:rsid w:val="00665C96"/>
    <w:rsid w:val="00676842"/>
    <w:rsid w:val="00676B56"/>
    <w:rsid w:val="00676D1A"/>
    <w:rsid w:val="00676E98"/>
    <w:rsid w:val="00677216"/>
    <w:rsid w:val="00680E6D"/>
    <w:rsid w:val="00681DF9"/>
    <w:rsid w:val="00682913"/>
    <w:rsid w:val="00685436"/>
    <w:rsid w:val="00690EBE"/>
    <w:rsid w:val="00694007"/>
    <w:rsid w:val="00695DFD"/>
    <w:rsid w:val="00696110"/>
    <w:rsid w:val="00696E51"/>
    <w:rsid w:val="006A04AD"/>
    <w:rsid w:val="006A12F6"/>
    <w:rsid w:val="006A2FF0"/>
    <w:rsid w:val="006B31B3"/>
    <w:rsid w:val="006C4293"/>
    <w:rsid w:val="006C4630"/>
    <w:rsid w:val="006C52E0"/>
    <w:rsid w:val="006C5C7F"/>
    <w:rsid w:val="006C6079"/>
    <w:rsid w:val="006C721F"/>
    <w:rsid w:val="006C7D32"/>
    <w:rsid w:val="006D0354"/>
    <w:rsid w:val="006D1A88"/>
    <w:rsid w:val="006D1BBA"/>
    <w:rsid w:val="006D5900"/>
    <w:rsid w:val="006D674D"/>
    <w:rsid w:val="006E30CF"/>
    <w:rsid w:val="006E58D3"/>
    <w:rsid w:val="006E5ACF"/>
    <w:rsid w:val="006E6146"/>
    <w:rsid w:val="006E63DF"/>
    <w:rsid w:val="006F324A"/>
    <w:rsid w:val="006F5B34"/>
    <w:rsid w:val="00700169"/>
    <w:rsid w:val="007010BE"/>
    <w:rsid w:val="007042FB"/>
    <w:rsid w:val="007047E2"/>
    <w:rsid w:val="00705040"/>
    <w:rsid w:val="007102CD"/>
    <w:rsid w:val="00710A27"/>
    <w:rsid w:val="00711918"/>
    <w:rsid w:val="00712793"/>
    <w:rsid w:val="00712905"/>
    <w:rsid w:val="007145C0"/>
    <w:rsid w:val="0071481B"/>
    <w:rsid w:val="007203C4"/>
    <w:rsid w:val="00720653"/>
    <w:rsid w:val="00722833"/>
    <w:rsid w:val="00725512"/>
    <w:rsid w:val="00726B8C"/>
    <w:rsid w:val="00727F8F"/>
    <w:rsid w:val="00730DCF"/>
    <w:rsid w:val="0073118F"/>
    <w:rsid w:val="00732921"/>
    <w:rsid w:val="00736D1B"/>
    <w:rsid w:val="0074129E"/>
    <w:rsid w:val="007449F1"/>
    <w:rsid w:val="0074619D"/>
    <w:rsid w:val="007466C8"/>
    <w:rsid w:val="00753923"/>
    <w:rsid w:val="00756AFE"/>
    <w:rsid w:val="007575D2"/>
    <w:rsid w:val="0076530D"/>
    <w:rsid w:val="00765F34"/>
    <w:rsid w:val="00766CEF"/>
    <w:rsid w:val="00776425"/>
    <w:rsid w:val="00785655"/>
    <w:rsid w:val="00787069"/>
    <w:rsid w:val="007874A5"/>
    <w:rsid w:val="00790662"/>
    <w:rsid w:val="0079405B"/>
    <w:rsid w:val="0079619D"/>
    <w:rsid w:val="007A1AE3"/>
    <w:rsid w:val="007B1327"/>
    <w:rsid w:val="007B6918"/>
    <w:rsid w:val="007C4558"/>
    <w:rsid w:val="007D1FFD"/>
    <w:rsid w:val="007D731B"/>
    <w:rsid w:val="007D78E4"/>
    <w:rsid w:val="007E2016"/>
    <w:rsid w:val="007E217A"/>
    <w:rsid w:val="007E2AA0"/>
    <w:rsid w:val="007E5292"/>
    <w:rsid w:val="007F45EF"/>
    <w:rsid w:val="007F6A40"/>
    <w:rsid w:val="007F7063"/>
    <w:rsid w:val="007F78D5"/>
    <w:rsid w:val="00800F25"/>
    <w:rsid w:val="008041DC"/>
    <w:rsid w:val="00807D0E"/>
    <w:rsid w:val="00814754"/>
    <w:rsid w:val="008159F6"/>
    <w:rsid w:val="00816342"/>
    <w:rsid w:val="008165FE"/>
    <w:rsid w:val="00816688"/>
    <w:rsid w:val="00824F10"/>
    <w:rsid w:val="00825AD0"/>
    <w:rsid w:val="008265C9"/>
    <w:rsid w:val="00833616"/>
    <w:rsid w:val="00835549"/>
    <w:rsid w:val="00835A7F"/>
    <w:rsid w:val="00837C95"/>
    <w:rsid w:val="00840FBB"/>
    <w:rsid w:val="00845EAE"/>
    <w:rsid w:val="00850DBB"/>
    <w:rsid w:val="00851A5C"/>
    <w:rsid w:val="0085365E"/>
    <w:rsid w:val="00854B8C"/>
    <w:rsid w:val="00854DE0"/>
    <w:rsid w:val="008557EA"/>
    <w:rsid w:val="00860A5D"/>
    <w:rsid w:val="00864516"/>
    <w:rsid w:val="0087110F"/>
    <w:rsid w:val="008719F9"/>
    <w:rsid w:val="0087358E"/>
    <w:rsid w:val="0087659D"/>
    <w:rsid w:val="00876835"/>
    <w:rsid w:val="00876BF1"/>
    <w:rsid w:val="00877694"/>
    <w:rsid w:val="00882EAE"/>
    <w:rsid w:val="00883A75"/>
    <w:rsid w:val="00884721"/>
    <w:rsid w:val="0088571E"/>
    <w:rsid w:val="00887236"/>
    <w:rsid w:val="00890761"/>
    <w:rsid w:val="00891D19"/>
    <w:rsid w:val="00894579"/>
    <w:rsid w:val="008955C4"/>
    <w:rsid w:val="008962AC"/>
    <w:rsid w:val="008A0119"/>
    <w:rsid w:val="008A1067"/>
    <w:rsid w:val="008A17BD"/>
    <w:rsid w:val="008A66BB"/>
    <w:rsid w:val="008B4239"/>
    <w:rsid w:val="008B4792"/>
    <w:rsid w:val="008B50EE"/>
    <w:rsid w:val="008B5DE6"/>
    <w:rsid w:val="008B7ED2"/>
    <w:rsid w:val="008C0F82"/>
    <w:rsid w:val="008C2312"/>
    <w:rsid w:val="008C2C50"/>
    <w:rsid w:val="008C2FCA"/>
    <w:rsid w:val="008C5C20"/>
    <w:rsid w:val="008C7948"/>
    <w:rsid w:val="008D00C9"/>
    <w:rsid w:val="008D2C75"/>
    <w:rsid w:val="008D38EC"/>
    <w:rsid w:val="008D3D9E"/>
    <w:rsid w:val="008D440F"/>
    <w:rsid w:val="008D4B0B"/>
    <w:rsid w:val="008D5CA8"/>
    <w:rsid w:val="008E1D5B"/>
    <w:rsid w:val="008E2D79"/>
    <w:rsid w:val="008E482C"/>
    <w:rsid w:val="008E4971"/>
    <w:rsid w:val="008E601A"/>
    <w:rsid w:val="008E630D"/>
    <w:rsid w:val="008F1900"/>
    <w:rsid w:val="008F19B7"/>
    <w:rsid w:val="008F2D9E"/>
    <w:rsid w:val="008F2E3A"/>
    <w:rsid w:val="008F6C00"/>
    <w:rsid w:val="008F7417"/>
    <w:rsid w:val="008F74C1"/>
    <w:rsid w:val="008F7776"/>
    <w:rsid w:val="008F7AE4"/>
    <w:rsid w:val="00900EFB"/>
    <w:rsid w:val="00911210"/>
    <w:rsid w:val="00916823"/>
    <w:rsid w:val="00921CC3"/>
    <w:rsid w:val="00923068"/>
    <w:rsid w:val="009239A4"/>
    <w:rsid w:val="00926D56"/>
    <w:rsid w:val="00926F6D"/>
    <w:rsid w:val="00927BCF"/>
    <w:rsid w:val="0093011E"/>
    <w:rsid w:val="00931594"/>
    <w:rsid w:val="00931952"/>
    <w:rsid w:val="009332BF"/>
    <w:rsid w:val="0093614F"/>
    <w:rsid w:val="00936C7A"/>
    <w:rsid w:val="009376D7"/>
    <w:rsid w:val="009410A6"/>
    <w:rsid w:val="00942712"/>
    <w:rsid w:val="00944FFB"/>
    <w:rsid w:val="009464C4"/>
    <w:rsid w:val="00953170"/>
    <w:rsid w:val="009579A9"/>
    <w:rsid w:val="00963E11"/>
    <w:rsid w:val="009643EA"/>
    <w:rsid w:val="009648E8"/>
    <w:rsid w:val="00964BD7"/>
    <w:rsid w:val="00965526"/>
    <w:rsid w:val="0096605D"/>
    <w:rsid w:val="00975757"/>
    <w:rsid w:val="00975B5F"/>
    <w:rsid w:val="00976579"/>
    <w:rsid w:val="009828DE"/>
    <w:rsid w:val="00982CCA"/>
    <w:rsid w:val="00982D47"/>
    <w:rsid w:val="00983617"/>
    <w:rsid w:val="009868D6"/>
    <w:rsid w:val="009868D9"/>
    <w:rsid w:val="00990AE5"/>
    <w:rsid w:val="009928EA"/>
    <w:rsid w:val="00992E0B"/>
    <w:rsid w:val="00992EFB"/>
    <w:rsid w:val="009937A9"/>
    <w:rsid w:val="009954AA"/>
    <w:rsid w:val="00995F4B"/>
    <w:rsid w:val="009A1447"/>
    <w:rsid w:val="009A1E45"/>
    <w:rsid w:val="009A1F54"/>
    <w:rsid w:val="009A57DE"/>
    <w:rsid w:val="009A7545"/>
    <w:rsid w:val="009B003B"/>
    <w:rsid w:val="009B17C7"/>
    <w:rsid w:val="009B2E41"/>
    <w:rsid w:val="009B5385"/>
    <w:rsid w:val="009C2E40"/>
    <w:rsid w:val="009C3859"/>
    <w:rsid w:val="009C4AF2"/>
    <w:rsid w:val="009C6BFD"/>
    <w:rsid w:val="009C71D3"/>
    <w:rsid w:val="009C7B88"/>
    <w:rsid w:val="009D35C2"/>
    <w:rsid w:val="009D625B"/>
    <w:rsid w:val="009E1A25"/>
    <w:rsid w:val="009E2491"/>
    <w:rsid w:val="009E5DAF"/>
    <w:rsid w:val="009E6725"/>
    <w:rsid w:val="009F0830"/>
    <w:rsid w:val="009F383A"/>
    <w:rsid w:val="00A031E4"/>
    <w:rsid w:val="00A04E40"/>
    <w:rsid w:val="00A0599D"/>
    <w:rsid w:val="00A06A7D"/>
    <w:rsid w:val="00A1004B"/>
    <w:rsid w:val="00A10C8C"/>
    <w:rsid w:val="00A11901"/>
    <w:rsid w:val="00A13A8C"/>
    <w:rsid w:val="00A1421F"/>
    <w:rsid w:val="00A142D6"/>
    <w:rsid w:val="00A157B0"/>
    <w:rsid w:val="00A15BD4"/>
    <w:rsid w:val="00A20283"/>
    <w:rsid w:val="00A2160B"/>
    <w:rsid w:val="00A24F37"/>
    <w:rsid w:val="00A263C7"/>
    <w:rsid w:val="00A27632"/>
    <w:rsid w:val="00A30CB1"/>
    <w:rsid w:val="00A30F3B"/>
    <w:rsid w:val="00A3155C"/>
    <w:rsid w:val="00A31578"/>
    <w:rsid w:val="00A34436"/>
    <w:rsid w:val="00A3446A"/>
    <w:rsid w:val="00A3539D"/>
    <w:rsid w:val="00A40A72"/>
    <w:rsid w:val="00A418F9"/>
    <w:rsid w:val="00A43643"/>
    <w:rsid w:val="00A45526"/>
    <w:rsid w:val="00A4758D"/>
    <w:rsid w:val="00A51622"/>
    <w:rsid w:val="00A53B41"/>
    <w:rsid w:val="00A54721"/>
    <w:rsid w:val="00A54CB3"/>
    <w:rsid w:val="00A60995"/>
    <w:rsid w:val="00A60F93"/>
    <w:rsid w:val="00A61A83"/>
    <w:rsid w:val="00A62C7F"/>
    <w:rsid w:val="00A6435D"/>
    <w:rsid w:val="00A643B1"/>
    <w:rsid w:val="00A64886"/>
    <w:rsid w:val="00A656C8"/>
    <w:rsid w:val="00A67AD7"/>
    <w:rsid w:val="00A67C20"/>
    <w:rsid w:val="00A71565"/>
    <w:rsid w:val="00A72139"/>
    <w:rsid w:val="00A726F7"/>
    <w:rsid w:val="00A728FE"/>
    <w:rsid w:val="00A734FA"/>
    <w:rsid w:val="00A73D5B"/>
    <w:rsid w:val="00A74577"/>
    <w:rsid w:val="00A75978"/>
    <w:rsid w:val="00A7787E"/>
    <w:rsid w:val="00A809C9"/>
    <w:rsid w:val="00A836C5"/>
    <w:rsid w:val="00A8470A"/>
    <w:rsid w:val="00A860CF"/>
    <w:rsid w:val="00A917E1"/>
    <w:rsid w:val="00A94AA3"/>
    <w:rsid w:val="00A95064"/>
    <w:rsid w:val="00A953B5"/>
    <w:rsid w:val="00AA3ABD"/>
    <w:rsid w:val="00AA578E"/>
    <w:rsid w:val="00AA62BD"/>
    <w:rsid w:val="00AC01EE"/>
    <w:rsid w:val="00AC0A88"/>
    <w:rsid w:val="00AC3426"/>
    <w:rsid w:val="00AC4686"/>
    <w:rsid w:val="00AD243E"/>
    <w:rsid w:val="00AD3E60"/>
    <w:rsid w:val="00AD3FAC"/>
    <w:rsid w:val="00AD5368"/>
    <w:rsid w:val="00AD569C"/>
    <w:rsid w:val="00AD76E0"/>
    <w:rsid w:val="00AD7771"/>
    <w:rsid w:val="00AE416F"/>
    <w:rsid w:val="00AE7CE9"/>
    <w:rsid w:val="00AF14CE"/>
    <w:rsid w:val="00AF1751"/>
    <w:rsid w:val="00AF1FB8"/>
    <w:rsid w:val="00AF43F4"/>
    <w:rsid w:val="00AF4F4C"/>
    <w:rsid w:val="00AF5632"/>
    <w:rsid w:val="00B001E5"/>
    <w:rsid w:val="00B04BC9"/>
    <w:rsid w:val="00B079CE"/>
    <w:rsid w:val="00B07E4D"/>
    <w:rsid w:val="00B12DE6"/>
    <w:rsid w:val="00B16F66"/>
    <w:rsid w:val="00B1796F"/>
    <w:rsid w:val="00B17A77"/>
    <w:rsid w:val="00B20463"/>
    <w:rsid w:val="00B209E4"/>
    <w:rsid w:val="00B20AA1"/>
    <w:rsid w:val="00B2188D"/>
    <w:rsid w:val="00B22D8A"/>
    <w:rsid w:val="00B2402A"/>
    <w:rsid w:val="00B25358"/>
    <w:rsid w:val="00B27ADE"/>
    <w:rsid w:val="00B30AAD"/>
    <w:rsid w:val="00B33894"/>
    <w:rsid w:val="00B34123"/>
    <w:rsid w:val="00B34D93"/>
    <w:rsid w:val="00B40796"/>
    <w:rsid w:val="00B41908"/>
    <w:rsid w:val="00B42E16"/>
    <w:rsid w:val="00B46C1F"/>
    <w:rsid w:val="00B46D24"/>
    <w:rsid w:val="00B47AA0"/>
    <w:rsid w:val="00B51FC7"/>
    <w:rsid w:val="00B539BE"/>
    <w:rsid w:val="00B53D45"/>
    <w:rsid w:val="00B5682E"/>
    <w:rsid w:val="00B57A3B"/>
    <w:rsid w:val="00B60996"/>
    <w:rsid w:val="00B61ACC"/>
    <w:rsid w:val="00B62BBD"/>
    <w:rsid w:val="00B63880"/>
    <w:rsid w:val="00B66BD4"/>
    <w:rsid w:val="00B70538"/>
    <w:rsid w:val="00B73680"/>
    <w:rsid w:val="00B75E35"/>
    <w:rsid w:val="00B76EC0"/>
    <w:rsid w:val="00B77E7E"/>
    <w:rsid w:val="00B828DA"/>
    <w:rsid w:val="00B83087"/>
    <w:rsid w:val="00B8313B"/>
    <w:rsid w:val="00B84B7A"/>
    <w:rsid w:val="00B85936"/>
    <w:rsid w:val="00B85DEA"/>
    <w:rsid w:val="00B863A9"/>
    <w:rsid w:val="00B913EE"/>
    <w:rsid w:val="00B915F3"/>
    <w:rsid w:val="00B916B3"/>
    <w:rsid w:val="00B923FE"/>
    <w:rsid w:val="00B92A09"/>
    <w:rsid w:val="00B94214"/>
    <w:rsid w:val="00BA23D2"/>
    <w:rsid w:val="00BA6D11"/>
    <w:rsid w:val="00BB180D"/>
    <w:rsid w:val="00BB26BF"/>
    <w:rsid w:val="00BB6246"/>
    <w:rsid w:val="00BB6A45"/>
    <w:rsid w:val="00BB6A85"/>
    <w:rsid w:val="00BC6C5B"/>
    <w:rsid w:val="00BD077D"/>
    <w:rsid w:val="00BD3429"/>
    <w:rsid w:val="00BD37B3"/>
    <w:rsid w:val="00BD5360"/>
    <w:rsid w:val="00BD78C9"/>
    <w:rsid w:val="00BE0742"/>
    <w:rsid w:val="00BE4317"/>
    <w:rsid w:val="00BE76F8"/>
    <w:rsid w:val="00BF650E"/>
    <w:rsid w:val="00C023DC"/>
    <w:rsid w:val="00C02D9F"/>
    <w:rsid w:val="00C05ABE"/>
    <w:rsid w:val="00C07064"/>
    <w:rsid w:val="00C10288"/>
    <w:rsid w:val="00C1104E"/>
    <w:rsid w:val="00C1531B"/>
    <w:rsid w:val="00C20579"/>
    <w:rsid w:val="00C24B4F"/>
    <w:rsid w:val="00C26DD7"/>
    <w:rsid w:val="00C30101"/>
    <w:rsid w:val="00C3247F"/>
    <w:rsid w:val="00C43D2E"/>
    <w:rsid w:val="00C45125"/>
    <w:rsid w:val="00C51722"/>
    <w:rsid w:val="00C527BA"/>
    <w:rsid w:val="00C5366D"/>
    <w:rsid w:val="00C578C3"/>
    <w:rsid w:val="00C57D5C"/>
    <w:rsid w:val="00C612EF"/>
    <w:rsid w:val="00C62955"/>
    <w:rsid w:val="00C62C19"/>
    <w:rsid w:val="00C6383A"/>
    <w:rsid w:val="00C65882"/>
    <w:rsid w:val="00C70598"/>
    <w:rsid w:val="00C7076A"/>
    <w:rsid w:val="00C720F3"/>
    <w:rsid w:val="00C80B63"/>
    <w:rsid w:val="00C839AD"/>
    <w:rsid w:val="00C83C65"/>
    <w:rsid w:val="00C87900"/>
    <w:rsid w:val="00C87B30"/>
    <w:rsid w:val="00C92219"/>
    <w:rsid w:val="00C975C6"/>
    <w:rsid w:val="00CA38E8"/>
    <w:rsid w:val="00CA57B8"/>
    <w:rsid w:val="00CA59FA"/>
    <w:rsid w:val="00CB237A"/>
    <w:rsid w:val="00CB616D"/>
    <w:rsid w:val="00CC0191"/>
    <w:rsid w:val="00CC0B7D"/>
    <w:rsid w:val="00CC3987"/>
    <w:rsid w:val="00CC492E"/>
    <w:rsid w:val="00CD0E77"/>
    <w:rsid w:val="00CD4269"/>
    <w:rsid w:val="00CD46B1"/>
    <w:rsid w:val="00CE145A"/>
    <w:rsid w:val="00CE1844"/>
    <w:rsid w:val="00CE1B59"/>
    <w:rsid w:val="00CE5067"/>
    <w:rsid w:val="00CE71C7"/>
    <w:rsid w:val="00CF5D0D"/>
    <w:rsid w:val="00CF6012"/>
    <w:rsid w:val="00D01CDE"/>
    <w:rsid w:val="00D065B1"/>
    <w:rsid w:val="00D07E4C"/>
    <w:rsid w:val="00D10F43"/>
    <w:rsid w:val="00D115D1"/>
    <w:rsid w:val="00D11D67"/>
    <w:rsid w:val="00D14C55"/>
    <w:rsid w:val="00D1636E"/>
    <w:rsid w:val="00D1749D"/>
    <w:rsid w:val="00D22108"/>
    <w:rsid w:val="00D22805"/>
    <w:rsid w:val="00D24A03"/>
    <w:rsid w:val="00D27675"/>
    <w:rsid w:val="00D364A5"/>
    <w:rsid w:val="00D437D6"/>
    <w:rsid w:val="00D50363"/>
    <w:rsid w:val="00D51DA2"/>
    <w:rsid w:val="00D52D63"/>
    <w:rsid w:val="00D5336E"/>
    <w:rsid w:val="00D56ABE"/>
    <w:rsid w:val="00D72C76"/>
    <w:rsid w:val="00D75843"/>
    <w:rsid w:val="00D81CFB"/>
    <w:rsid w:val="00D83F0B"/>
    <w:rsid w:val="00D842C2"/>
    <w:rsid w:val="00D85D9A"/>
    <w:rsid w:val="00D85EFD"/>
    <w:rsid w:val="00D8692F"/>
    <w:rsid w:val="00D9232A"/>
    <w:rsid w:val="00D95BDD"/>
    <w:rsid w:val="00D95BE1"/>
    <w:rsid w:val="00D96984"/>
    <w:rsid w:val="00D96CD7"/>
    <w:rsid w:val="00DA342C"/>
    <w:rsid w:val="00DB2C9C"/>
    <w:rsid w:val="00DB5497"/>
    <w:rsid w:val="00DC0BC8"/>
    <w:rsid w:val="00DC23EE"/>
    <w:rsid w:val="00DC2EFB"/>
    <w:rsid w:val="00DC6D77"/>
    <w:rsid w:val="00DD0ED6"/>
    <w:rsid w:val="00DD11EE"/>
    <w:rsid w:val="00DD2731"/>
    <w:rsid w:val="00DE2C7B"/>
    <w:rsid w:val="00DE2DC8"/>
    <w:rsid w:val="00DE52AF"/>
    <w:rsid w:val="00DE6EAB"/>
    <w:rsid w:val="00DF18D6"/>
    <w:rsid w:val="00DF1D93"/>
    <w:rsid w:val="00DF35A2"/>
    <w:rsid w:val="00DF45CD"/>
    <w:rsid w:val="00DF5507"/>
    <w:rsid w:val="00DF5BFB"/>
    <w:rsid w:val="00DF7046"/>
    <w:rsid w:val="00E00AA7"/>
    <w:rsid w:val="00E048EE"/>
    <w:rsid w:val="00E04CE2"/>
    <w:rsid w:val="00E07D05"/>
    <w:rsid w:val="00E1049F"/>
    <w:rsid w:val="00E109F9"/>
    <w:rsid w:val="00E1341C"/>
    <w:rsid w:val="00E137B9"/>
    <w:rsid w:val="00E169EE"/>
    <w:rsid w:val="00E23A89"/>
    <w:rsid w:val="00E260BC"/>
    <w:rsid w:val="00E260E2"/>
    <w:rsid w:val="00E27DCE"/>
    <w:rsid w:val="00E307CC"/>
    <w:rsid w:val="00E3129F"/>
    <w:rsid w:val="00E352A9"/>
    <w:rsid w:val="00E37E4F"/>
    <w:rsid w:val="00E40814"/>
    <w:rsid w:val="00E43706"/>
    <w:rsid w:val="00E4573B"/>
    <w:rsid w:val="00E515EA"/>
    <w:rsid w:val="00E52FED"/>
    <w:rsid w:val="00E54495"/>
    <w:rsid w:val="00E56338"/>
    <w:rsid w:val="00E56559"/>
    <w:rsid w:val="00E5764E"/>
    <w:rsid w:val="00E60585"/>
    <w:rsid w:val="00E62AC4"/>
    <w:rsid w:val="00E647CB"/>
    <w:rsid w:val="00E67B39"/>
    <w:rsid w:val="00E713EA"/>
    <w:rsid w:val="00E71A3E"/>
    <w:rsid w:val="00E71DC8"/>
    <w:rsid w:val="00E71DD2"/>
    <w:rsid w:val="00E77E44"/>
    <w:rsid w:val="00E80874"/>
    <w:rsid w:val="00E80C83"/>
    <w:rsid w:val="00E826CC"/>
    <w:rsid w:val="00E876AE"/>
    <w:rsid w:val="00E87C32"/>
    <w:rsid w:val="00E87F55"/>
    <w:rsid w:val="00E90AAF"/>
    <w:rsid w:val="00E944CC"/>
    <w:rsid w:val="00E96D2C"/>
    <w:rsid w:val="00EA02D5"/>
    <w:rsid w:val="00EA08E0"/>
    <w:rsid w:val="00EA0DDB"/>
    <w:rsid w:val="00EA1DE1"/>
    <w:rsid w:val="00EA5EF3"/>
    <w:rsid w:val="00EA69F7"/>
    <w:rsid w:val="00EA7398"/>
    <w:rsid w:val="00EA7C31"/>
    <w:rsid w:val="00EB39FD"/>
    <w:rsid w:val="00EB4845"/>
    <w:rsid w:val="00EB50DC"/>
    <w:rsid w:val="00EB670B"/>
    <w:rsid w:val="00EC1D61"/>
    <w:rsid w:val="00EC2FAD"/>
    <w:rsid w:val="00EC37E3"/>
    <w:rsid w:val="00EC3980"/>
    <w:rsid w:val="00EC41DD"/>
    <w:rsid w:val="00EC478E"/>
    <w:rsid w:val="00EC4AA0"/>
    <w:rsid w:val="00EC7E24"/>
    <w:rsid w:val="00ED166F"/>
    <w:rsid w:val="00ED2D13"/>
    <w:rsid w:val="00ED35D1"/>
    <w:rsid w:val="00ED41FC"/>
    <w:rsid w:val="00ED43B9"/>
    <w:rsid w:val="00EE01F1"/>
    <w:rsid w:val="00EE1AD9"/>
    <w:rsid w:val="00EE22C8"/>
    <w:rsid w:val="00EE33F4"/>
    <w:rsid w:val="00EE44FE"/>
    <w:rsid w:val="00EE4AB7"/>
    <w:rsid w:val="00EE52AC"/>
    <w:rsid w:val="00EE6517"/>
    <w:rsid w:val="00EF3571"/>
    <w:rsid w:val="00EF7E2B"/>
    <w:rsid w:val="00F01BB4"/>
    <w:rsid w:val="00F02909"/>
    <w:rsid w:val="00F0552E"/>
    <w:rsid w:val="00F07169"/>
    <w:rsid w:val="00F125BE"/>
    <w:rsid w:val="00F1756F"/>
    <w:rsid w:val="00F20351"/>
    <w:rsid w:val="00F228B8"/>
    <w:rsid w:val="00F247CB"/>
    <w:rsid w:val="00F24A05"/>
    <w:rsid w:val="00F24C1C"/>
    <w:rsid w:val="00F31F28"/>
    <w:rsid w:val="00F33CF0"/>
    <w:rsid w:val="00F351E8"/>
    <w:rsid w:val="00F366AC"/>
    <w:rsid w:val="00F40C30"/>
    <w:rsid w:val="00F41EAC"/>
    <w:rsid w:val="00F45746"/>
    <w:rsid w:val="00F46982"/>
    <w:rsid w:val="00F46AAE"/>
    <w:rsid w:val="00F4746A"/>
    <w:rsid w:val="00F55614"/>
    <w:rsid w:val="00F559DC"/>
    <w:rsid w:val="00F570F7"/>
    <w:rsid w:val="00F602E3"/>
    <w:rsid w:val="00F70338"/>
    <w:rsid w:val="00F70EFC"/>
    <w:rsid w:val="00F724D7"/>
    <w:rsid w:val="00F732A9"/>
    <w:rsid w:val="00F7547D"/>
    <w:rsid w:val="00F76721"/>
    <w:rsid w:val="00F775CD"/>
    <w:rsid w:val="00F81AE9"/>
    <w:rsid w:val="00F81EE6"/>
    <w:rsid w:val="00F92898"/>
    <w:rsid w:val="00F928CF"/>
    <w:rsid w:val="00F97E43"/>
    <w:rsid w:val="00FA3DA1"/>
    <w:rsid w:val="00FA5E2B"/>
    <w:rsid w:val="00FA61F7"/>
    <w:rsid w:val="00FA670C"/>
    <w:rsid w:val="00FA6E03"/>
    <w:rsid w:val="00FA7285"/>
    <w:rsid w:val="00FB1171"/>
    <w:rsid w:val="00FB5501"/>
    <w:rsid w:val="00FC243C"/>
    <w:rsid w:val="00FC56D6"/>
    <w:rsid w:val="00FC65D6"/>
    <w:rsid w:val="00FD4BBE"/>
    <w:rsid w:val="00FD5165"/>
    <w:rsid w:val="00FE287E"/>
    <w:rsid w:val="00FE2F17"/>
    <w:rsid w:val="00FF0436"/>
    <w:rsid w:val="00FF13E4"/>
    <w:rsid w:val="00FF1748"/>
    <w:rsid w:val="00FF20FE"/>
    <w:rsid w:val="00FF353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chartTrackingRefBased/>
  <w15:docId w15:val="{B3BE6EF0-9307-4D8E-9DFA-6A946302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Heading3"/>
    <w:link w:val="Heading2Char"/>
    <w:uiPriority w:val="9"/>
    <w:qFormat/>
    <w:rsid w:val="007B1327"/>
    <w:pPr>
      <w:jc w:val="both"/>
      <w:outlineLvl w:val="1"/>
    </w:pPr>
    <w:rPr>
      <w:rFonts w:cs="Calibri"/>
      <w:color w:val="2683C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A7285"/>
    <w:pPr>
      <w:numPr>
        <w:ilvl w:val="1"/>
        <w:numId w:val="20"/>
      </w:numPr>
      <w:spacing w:line="256" w:lineRule="auto"/>
      <w:contextualSpacing/>
    </w:pPr>
    <w:rPr>
      <w:rFonts w:eastAsia="Times New Roman"/>
      <w:bCs/>
      <w:color w:val="auto"/>
      <w:sz w:val="22"/>
      <w:szCs w:val="22"/>
      <w:lang w:val="en-US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327"/>
    <w:rPr>
      <w:rFonts w:asciiTheme="majorHAnsi" w:eastAsiaTheme="majorEastAsia" w:hAnsiTheme="majorHAnsi"/>
      <w:color w:val="2683C6" w:themeColor="accen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urful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  <w:style w:type="table" w:styleId="TableGrid">
    <w:name w:val="Table Grid"/>
    <w:basedOn w:val="TableNormal"/>
    <w:uiPriority w:val="39"/>
    <w:rsid w:val="0030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052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styleId="NoSpacing">
    <w:name w:val="No Spacing"/>
    <w:uiPriority w:val="1"/>
    <w:qFormat/>
    <w:rsid w:val="007B132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Sheet1!$B$60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Sheet1!$A$61:$A$65</c:f>
              <c:strCache>
                <c:ptCount val="5"/>
                <c:pt idx="0">
                  <c:v>10 minutes and under</c:v>
                </c:pt>
                <c:pt idx="1">
                  <c:v>11-20 minutes</c:v>
                </c:pt>
                <c:pt idx="2">
                  <c:v>21-40 minutes</c:v>
                </c:pt>
                <c:pt idx="3">
                  <c:v>41-90 minutes</c:v>
                </c:pt>
                <c:pt idx="4">
                  <c:v>91 minutes and over</c:v>
                </c:pt>
              </c:strCache>
            </c:strRef>
          </c:cat>
          <c:val>
            <c:numRef>
              <c:f>Sheet1!$B$61:$B$65</c:f>
            </c:numRef>
          </c:val>
          <c:extLst>
            <c:ext xmlns:c16="http://schemas.microsoft.com/office/drawing/2014/chart" uri="{C3380CC4-5D6E-409C-BE32-E72D297353CC}">
              <c16:uniqueId val="{00000000-161F-49A1-BB2D-1C9912E567D2}"/>
            </c:ext>
          </c:extLst>
        </c:ser>
        <c:ser>
          <c:idx val="1"/>
          <c:order val="1"/>
          <c:tx>
            <c:strRef>
              <c:f>Sheet1!$C$60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Sheet1!$A$61:$A$65</c:f>
              <c:strCache>
                <c:ptCount val="5"/>
                <c:pt idx="0">
                  <c:v>10 minutes and under</c:v>
                </c:pt>
                <c:pt idx="1">
                  <c:v>11-20 minutes</c:v>
                </c:pt>
                <c:pt idx="2">
                  <c:v>21-40 minutes</c:v>
                </c:pt>
                <c:pt idx="3">
                  <c:v>41-90 minutes</c:v>
                </c:pt>
                <c:pt idx="4">
                  <c:v>91 minutes and over</c:v>
                </c:pt>
              </c:strCache>
            </c:strRef>
          </c:cat>
          <c:val>
            <c:numRef>
              <c:f>Sheet1!$C$61:$C$65</c:f>
              <c:numCache>
                <c:formatCode>General</c:formatCode>
                <c:ptCount val="5"/>
                <c:pt idx="0">
                  <c:v>37884</c:v>
                </c:pt>
                <c:pt idx="1">
                  <c:v>32940</c:v>
                </c:pt>
                <c:pt idx="2">
                  <c:v>13915</c:v>
                </c:pt>
                <c:pt idx="3">
                  <c:v>2921</c:v>
                </c:pt>
                <c:pt idx="4">
                  <c:v>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F-49A1-BB2D-1C9912E56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7513200"/>
        <c:axId val="1207516560"/>
      </c:barChart>
      <c:catAx>
        <c:axId val="120751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7516560"/>
        <c:crosses val="autoZero"/>
        <c:auto val="1"/>
        <c:lblAlgn val="ctr"/>
        <c:lblOffset val="100"/>
        <c:noMultiLvlLbl val="0"/>
      </c:catAx>
      <c:valAx>
        <c:axId val="120751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751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SecurityClassification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5" ma:contentTypeDescription="Create a new document for eDocs" ma:contentTypeScope="" ma:versionID="f5968d7d951fc31c9ae2b695a2df219e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bc22b9dd1081b9b9163c5aa3be18f164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9BCC-C753-4F69-8C37-E44A31E4E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0396F3-B46B-48D8-892B-D9B5C9C9F7E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5D32A-2018-41A0-B8EE-F5BE25D44CC9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E6882BA8-A7E9-4201-A4B5-6E13A5AC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8D1EC9-2651-493D-A243-FD78A31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4129</Words>
  <Characters>23538</Characters>
  <Application>Microsoft Office Word</Application>
  <DocSecurity>4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O’Connor</dc:creator>
  <cp:keywords/>
  <dc:description/>
  <cp:lastModifiedBy>Elena Kelly</cp:lastModifiedBy>
  <cp:revision>2</cp:revision>
  <cp:lastPrinted>2025-03-13T14:10:00Z</cp:lastPrinted>
  <dcterms:created xsi:type="dcterms:W3CDTF">2025-03-13T16:41:00Z</dcterms:created>
  <dcterms:modified xsi:type="dcterms:W3CDTF">2025-03-13T16:41:00Z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