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8FD8" w14:textId="54830D86" w:rsidR="009B5385" w:rsidRDefault="00942712" w:rsidP="00586C6E">
      <w:pPr>
        <w:pStyle w:val="Heading1"/>
        <w:spacing w:line="240" w:lineRule="auto"/>
        <w:jc w:val="center"/>
        <w:rPr>
          <w:rFonts w:ascii="Tw Cen MT Condensed" w:hAnsi="Tw Cen MT Condensed"/>
          <w:sz w:val="44"/>
          <w:szCs w:val="44"/>
        </w:rPr>
      </w:pPr>
      <w:r w:rsidRPr="00726B8C">
        <w:rPr>
          <w:rFonts w:ascii="Tw Cen MT Condensed" w:hAnsi="Tw Cen MT Condensed"/>
          <w:sz w:val="44"/>
          <w:szCs w:val="44"/>
        </w:rPr>
        <w:t xml:space="preserve">Citizens Information Services (CIS) </w:t>
      </w:r>
      <w:r w:rsidR="009B5385">
        <w:rPr>
          <w:rFonts w:ascii="Tw Cen MT Condensed" w:hAnsi="Tw Cen MT Condensed"/>
          <w:sz w:val="44"/>
          <w:szCs w:val="44"/>
        </w:rPr>
        <w:t xml:space="preserve">- </w:t>
      </w:r>
      <w:r w:rsidRPr="00726B8C">
        <w:rPr>
          <w:rFonts w:ascii="Tw Cen MT Condensed" w:hAnsi="Tw Cen MT Condensed"/>
          <w:sz w:val="44"/>
          <w:szCs w:val="44"/>
        </w:rPr>
        <w:t>Caller/Query Data</w:t>
      </w:r>
    </w:p>
    <w:p w14:paraId="414C9287" w14:textId="58520D1F" w:rsidR="004C75C2" w:rsidRPr="00726B8C" w:rsidRDefault="009B5385" w:rsidP="00586C6E">
      <w:pPr>
        <w:pStyle w:val="Heading1"/>
        <w:spacing w:before="0" w:line="240" w:lineRule="auto"/>
        <w:jc w:val="center"/>
        <w:rPr>
          <w:rFonts w:ascii="Tw Cen MT Condensed" w:hAnsi="Tw Cen MT Condensed"/>
          <w:sz w:val="44"/>
          <w:szCs w:val="44"/>
        </w:rPr>
      </w:pPr>
      <w:r>
        <w:rPr>
          <w:rFonts w:ascii="Tw Cen MT Condensed" w:hAnsi="Tw Cen MT Condensed"/>
          <w:sz w:val="44"/>
          <w:szCs w:val="44"/>
        </w:rPr>
        <w:t xml:space="preserve">Statistical Summary </w:t>
      </w:r>
      <w:r w:rsidR="004C75C2" w:rsidRPr="00726B8C">
        <w:rPr>
          <w:rFonts w:ascii="Tw Cen MT Condensed" w:hAnsi="Tw Cen MT Condensed"/>
          <w:sz w:val="44"/>
          <w:szCs w:val="44"/>
        </w:rPr>
        <w:t>Quarter 3 202</w:t>
      </w:r>
      <w:r w:rsidR="008165FE" w:rsidRPr="00726B8C">
        <w:rPr>
          <w:rFonts w:ascii="Tw Cen MT Condensed" w:hAnsi="Tw Cen MT Condensed"/>
          <w:sz w:val="44"/>
          <w:szCs w:val="44"/>
        </w:rPr>
        <w:t>4</w:t>
      </w:r>
    </w:p>
    <w:p w14:paraId="20F14834" w14:textId="77777777" w:rsidR="00111E9A" w:rsidRDefault="00111E9A" w:rsidP="00586C6E">
      <w:pPr>
        <w:jc w:val="center"/>
      </w:pPr>
    </w:p>
    <w:p w14:paraId="3DBE9789" w14:textId="3FB514F1" w:rsidR="00942712" w:rsidRPr="007B1327" w:rsidRDefault="00942712" w:rsidP="007B1327">
      <w:pPr>
        <w:pStyle w:val="Heading1"/>
      </w:pPr>
      <w:r w:rsidRPr="007B1327">
        <w:t>Caller Summary</w:t>
      </w:r>
    </w:p>
    <w:p w14:paraId="6D1016CA" w14:textId="77777777" w:rsidR="00111E9A" w:rsidRDefault="00942712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726B8C">
        <w:rPr>
          <w:rFonts w:ascii="Calibri" w:hAnsi="Calibri" w:cs="Calibri"/>
          <w:color w:val="auto"/>
          <w:sz w:val="22"/>
          <w:szCs w:val="22"/>
        </w:rPr>
        <w:t xml:space="preserve">There were </w:t>
      </w:r>
      <w:r w:rsidRPr="00726B8C">
        <w:rPr>
          <w:rFonts w:ascii="Calibri" w:hAnsi="Calibri" w:cs="Calibri"/>
          <w:b/>
          <w:color w:val="auto"/>
          <w:sz w:val="22"/>
          <w:szCs w:val="22"/>
        </w:rPr>
        <w:t>10</w:t>
      </w:r>
      <w:r w:rsidR="008165FE" w:rsidRPr="00726B8C">
        <w:rPr>
          <w:rFonts w:ascii="Calibri" w:hAnsi="Calibri" w:cs="Calibri"/>
          <w:b/>
          <w:color w:val="auto"/>
          <w:sz w:val="22"/>
          <w:szCs w:val="22"/>
        </w:rPr>
        <w:t>1,610</w:t>
      </w:r>
      <w:r w:rsidRPr="00726B8C">
        <w:rPr>
          <w:rFonts w:ascii="Calibri" w:hAnsi="Calibri" w:cs="Calibri"/>
          <w:color w:val="auto"/>
          <w:sz w:val="22"/>
          <w:szCs w:val="22"/>
        </w:rPr>
        <w:t xml:space="preserve"> callers to CISs nationally during Q3, 202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4</w:t>
      </w:r>
      <w:r w:rsidRPr="00726B8C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111E9A">
        <w:rPr>
          <w:rFonts w:ascii="Calibri" w:hAnsi="Calibri" w:cs="Calibri"/>
          <w:bCs/>
          <w:color w:val="auto"/>
          <w:sz w:val="22"/>
          <w:szCs w:val="22"/>
        </w:rPr>
        <w:t>a</w:t>
      </w:r>
      <w:r w:rsidR="00111E9A">
        <w:rPr>
          <w:rFonts w:ascii="Calibri" w:hAnsi="Calibri" w:cs="Calibri"/>
          <w:bCs/>
          <w:color w:val="auto"/>
          <w:sz w:val="22"/>
          <w:szCs w:val="22"/>
        </w:rPr>
        <w:t xml:space="preserve"> slight</w:t>
      </w:r>
      <w:r w:rsidR="006E6146" w:rsidRPr="00111E9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11E9A">
        <w:rPr>
          <w:rFonts w:ascii="Calibri" w:hAnsi="Calibri" w:cs="Calibri"/>
          <w:bCs/>
          <w:color w:val="auto"/>
          <w:sz w:val="22"/>
          <w:szCs w:val="22"/>
        </w:rPr>
        <w:t>(</w:t>
      </w:r>
      <w:r w:rsidR="008165FE" w:rsidRPr="00111E9A">
        <w:rPr>
          <w:rFonts w:ascii="Calibri" w:hAnsi="Calibri" w:cs="Calibri"/>
          <w:bCs/>
          <w:color w:val="auto"/>
          <w:sz w:val="22"/>
          <w:szCs w:val="22"/>
        </w:rPr>
        <w:t>1</w:t>
      </w:r>
      <w:r w:rsidR="006E6146" w:rsidRPr="00111E9A">
        <w:rPr>
          <w:rFonts w:ascii="Calibri" w:hAnsi="Calibri" w:cs="Calibri"/>
          <w:bCs/>
          <w:color w:val="auto"/>
          <w:sz w:val="22"/>
          <w:szCs w:val="22"/>
        </w:rPr>
        <w:t>.8%</w:t>
      </w:r>
      <w:r w:rsidR="00111E9A">
        <w:rPr>
          <w:rFonts w:ascii="Calibri" w:hAnsi="Calibri" w:cs="Calibri"/>
          <w:bCs/>
          <w:color w:val="auto"/>
          <w:sz w:val="22"/>
          <w:szCs w:val="22"/>
        </w:rPr>
        <w:t>)</w:t>
      </w:r>
      <w:r w:rsidRPr="00111E9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E6146" w:rsidRPr="00111E9A">
        <w:rPr>
          <w:rFonts w:ascii="Calibri" w:hAnsi="Calibri" w:cs="Calibri"/>
          <w:bCs/>
          <w:color w:val="auto"/>
          <w:sz w:val="22"/>
          <w:szCs w:val="22"/>
        </w:rPr>
        <w:t>decrease</w:t>
      </w:r>
      <w:r w:rsidR="006E6146" w:rsidRPr="00726B8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726B8C">
        <w:rPr>
          <w:rFonts w:ascii="Calibri" w:hAnsi="Calibri" w:cs="Calibri"/>
          <w:color w:val="auto"/>
          <w:sz w:val="22"/>
          <w:szCs w:val="22"/>
        </w:rPr>
        <w:t xml:space="preserve">on </w:t>
      </w:r>
      <w:r w:rsidR="00111E9A">
        <w:rPr>
          <w:rFonts w:ascii="Calibri" w:hAnsi="Calibri" w:cs="Calibri"/>
          <w:color w:val="auto"/>
          <w:sz w:val="22"/>
          <w:szCs w:val="22"/>
        </w:rPr>
        <w:t>Q3,</w:t>
      </w:r>
      <w:r w:rsidRPr="00726B8C">
        <w:rPr>
          <w:rFonts w:ascii="Calibri" w:hAnsi="Calibri" w:cs="Calibri"/>
          <w:color w:val="auto"/>
          <w:sz w:val="22"/>
          <w:szCs w:val="22"/>
        </w:rPr>
        <w:t xml:space="preserve"> 202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3</w:t>
      </w:r>
      <w:r w:rsidRPr="00726B8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1E9A">
        <w:rPr>
          <w:rFonts w:ascii="Calibri" w:hAnsi="Calibri" w:cs="Calibri"/>
          <w:color w:val="auto"/>
          <w:sz w:val="22"/>
          <w:szCs w:val="22"/>
        </w:rPr>
        <w:t>(</w:t>
      </w:r>
      <w:r w:rsidR="006E6146" w:rsidRPr="00726B8C">
        <w:rPr>
          <w:rFonts w:ascii="Calibri" w:hAnsi="Calibri" w:cs="Calibri"/>
          <w:color w:val="auto"/>
          <w:sz w:val="22"/>
          <w:szCs w:val="22"/>
        </w:rPr>
        <w:t>10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3</w:t>
      </w:r>
      <w:r w:rsidR="006E6146" w:rsidRPr="00726B8C">
        <w:rPr>
          <w:rFonts w:ascii="Calibri" w:hAnsi="Calibri" w:cs="Calibri"/>
          <w:color w:val="auto"/>
          <w:sz w:val="22"/>
          <w:szCs w:val="22"/>
        </w:rPr>
        <w:t>,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478</w:t>
      </w:r>
      <w:r w:rsidR="006E6146" w:rsidRPr="00726B8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26B8C">
        <w:rPr>
          <w:rFonts w:ascii="Calibri" w:hAnsi="Calibri" w:cs="Calibri"/>
          <w:color w:val="auto"/>
          <w:sz w:val="22"/>
          <w:szCs w:val="22"/>
        </w:rPr>
        <w:t>callers</w:t>
      </w:r>
      <w:r w:rsidR="00111E9A">
        <w:rPr>
          <w:rFonts w:ascii="Calibri" w:hAnsi="Calibri" w:cs="Calibri"/>
          <w:color w:val="auto"/>
          <w:sz w:val="22"/>
          <w:szCs w:val="22"/>
        </w:rPr>
        <w:t>)</w:t>
      </w:r>
      <w:r w:rsidR="008F7776" w:rsidRPr="00726B8C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6E6146" w:rsidRPr="00726B8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8BEAC2" w14:textId="77777777" w:rsidR="00111E9A" w:rsidRDefault="00111E9A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FA901F8" w14:textId="77777777" w:rsidR="00111E9A" w:rsidRPr="007B1327" w:rsidRDefault="00111E9A" w:rsidP="007B1327">
      <w:pPr>
        <w:pStyle w:val="Heading2"/>
      </w:pPr>
      <w:r w:rsidRPr="007B1327">
        <w:t>Gender Profile</w:t>
      </w:r>
    </w:p>
    <w:p w14:paraId="376A8BCF" w14:textId="105C6101" w:rsidR="00C92219" w:rsidRPr="00C92219" w:rsidRDefault="00111E9A" w:rsidP="00C92219">
      <w:pPr>
        <w:pStyle w:val="Heading3"/>
        <w:spacing w:after="24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Female callers made up 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55.9% of callers</w:t>
      </w:r>
      <w:r w:rsidR="00942712" w:rsidRPr="00726B8C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From</w:t>
      </w:r>
      <w:r w:rsidR="003D7437" w:rsidRPr="00726B8C">
        <w:rPr>
          <w:rFonts w:ascii="Calibri" w:hAnsi="Calibri" w:cs="Calibri"/>
          <w:color w:val="auto"/>
          <w:sz w:val="22"/>
          <w:szCs w:val="22"/>
        </w:rPr>
        <w:t xml:space="preserve"> Q3</w:t>
      </w:r>
      <w:r w:rsidR="00586C6E">
        <w:rPr>
          <w:rFonts w:ascii="Calibri" w:hAnsi="Calibri" w:cs="Calibri"/>
          <w:color w:val="auto"/>
          <w:sz w:val="22"/>
          <w:szCs w:val="22"/>
        </w:rPr>
        <w:t>,</w:t>
      </w:r>
      <w:r w:rsidR="003D7437" w:rsidRPr="00726B8C">
        <w:rPr>
          <w:rFonts w:ascii="Calibri" w:hAnsi="Calibri" w:cs="Calibri"/>
          <w:color w:val="auto"/>
          <w:sz w:val="22"/>
          <w:szCs w:val="22"/>
        </w:rPr>
        <w:t xml:space="preserve"> 2023 </w:t>
      </w:r>
      <w:r w:rsidR="00E04CE2" w:rsidRPr="00726B8C">
        <w:rPr>
          <w:rFonts w:ascii="Calibri" w:hAnsi="Calibri" w:cs="Calibri"/>
          <w:color w:val="auto"/>
          <w:sz w:val="22"/>
          <w:szCs w:val="22"/>
        </w:rPr>
        <w:t>the caller</w:t>
      </w:r>
      <w:r w:rsidR="004C75C2" w:rsidRPr="00726B8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82EAE">
        <w:rPr>
          <w:rFonts w:ascii="Calibri" w:hAnsi="Calibri" w:cs="Calibri"/>
          <w:color w:val="auto"/>
          <w:sz w:val="22"/>
          <w:szCs w:val="22"/>
        </w:rPr>
        <w:t>category ‘Couples’</w:t>
      </w:r>
      <w:r w:rsidR="00882EAE" w:rsidRPr="00726B8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7437" w:rsidRPr="00726B8C">
        <w:rPr>
          <w:rFonts w:ascii="Calibri" w:hAnsi="Calibri" w:cs="Calibri"/>
          <w:color w:val="auto"/>
          <w:sz w:val="22"/>
          <w:szCs w:val="22"/>
        </w:rPr>
        <w:t xml:space="preserve">was </w:t>
      </w:r>
      <w:r w:rsidR="004C75C2" w:rsidRPr="00726B8C">
        <w:rPr>
          <w:rFonts w:ascii="Calibri" w:hAnsi="Calibri" w:cs="Calibri"/>
          <w:color w:val="auto"/>
          <w:sz w:val="22"/>
          <w:szCs w:val="22"/>
        </w:rPr>
        <w:t xml:space="preserve">expanded to </w:t>
      </w:r>
      <w:r w:rsidR="00882EAE">
        <w:rPr>
          <w:rFonts w:ascii="Calibri" w:hAnsi="Calibri" w:cs="Calibri"/>
          <w:color w:val="auto"/>
          <w:sz w:val="22"/>
          <w:szCs w:val="22"/>
        </w:rPr>
        <w:t>‘C</w:t>
      </w:r>
      <w:r w:rsidR="00882EAE" w:rsidRPr="00726B8C">
        <w:rPr>
          <w:rFonts w:ascii="Calibri" w:hAnsi="Calibri" w:cs="Calibri"/>
          <w:color w:val="auto"/>
          <w:sz w:val="22"/>
          <w:szCs w:val="22"/>
        </w:rPr>
        <w:t>ouples</w:t>
      </w:r>
      <w:r w:rsidR="003D7437" w:rsidRPr="00726B8C">
        <w:rPr>
          <w:rFonts w:ascii="Calibri" w:hAnsi="Calibri" w:cs="Calibri"/>
          <w:color w:val="auto"/>
          <w:sz w:val="22"/>
          <w:szCs w:val="22"/>
        </w:rPr>
        <w:t>/</w:t>
      </w:r>
      <w:r w:rsidR="00882EAE">
        <w:rPr>
          <w:rFonts w:ascii="Calibri" w:hAnsi="Calibri" w:cs="Calibri"/>
          <w:color w:val="auto"/>
          <w:sz w:val="22"/>
          <w:szCs w:val="22"/>
        </w:rPr>
        <w:t>F</w:t>
      </w:r>
      <w:r w:rsidR="00882EAE" w:rsidRPr="00726B8C">
        <w:rPr>
          <w:rFonts w:ascii="Calibri" w:hAnsi="Calibri" w:cs="Calibri"/>
          <w:color w:val="auto"/>
          <w:sz w:val="22"/>
          <w:szCs w:val="22"/>
        </w:rPr>
        <w:t xml:space="preserve">amily </w:t>
      </w:r>
      <w:r w:rsidR="00586C6E">
        <w:rPr>
          <w:rFonts w:ascii="Calibri" w:hAnsi="Calibri" w:cs="Calibri"/>
          <w:color w:val="auto"/>
          <w:sz w:val="22"/>
          <w:szCs w:val="22"/>
        </w:rPr>
        <w:t>M</w:t>
      </w:r>
      <w:r w:rsidR="003D7437" w:rsidRPr="00726B8C">
        <w:rPr>
          <w:rFonts w:ascii="Calibri" w:hAnsi="Calibri" w:cs="Calibri"/>
          <w:color w:val="auto"/>
          <w:sz w:val="22"/>
          <w:szCs w:val="22"/>
        </w:rPr>
        <w:t>ember</w:t>
      </w:r>
      <w:r w:rsidR="00882EAE">
        <w:rPr>
          <w:rFonts w:ascii="Calibri" w:hAnsi="Calibri" w:cs="Calibri"/>
          <w:color w:val="auto"/>
          <w:sz w:val="22"/>
          <w:szCs w:val="22"/>
        </w:rPr>
        <w:t>s’</w:t>
      </w:r>
      <w:r w:rsidR="003D7437" w:rsidRPr="00726B8C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882EAE">
        <w:rPr>
          <w:rFonts w:ascii="Calibri" w:hAnsi="Calibri" w:cs="Calibri"/>
          <w:color w:val="auto"/>
          <w:sz w:val="22"/>
          <w:szCs w:val="22"/>
        </w:rPr>
        <w:t>which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82EAE">
        <w:rPr>
          <w:rFonts w:ascii="Calibri" w:hAnsi="Calibri" w:cs="Calibri"/>
          <w:color w:val="auto"/>
          <w:sz w:val="22"/>
          <w:szCs w:val="22"/>
        </w:rPr>
        <w:t>is likely to</w:t>
      </w:r>
      <w:r w:rsidR="00882EAE" w:rsidRPr="00726B8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explain the</w:t>
      </w:r>
      <w:r w:rsidR="00882EAE">
        <w:rPr>
          <w:rFonts w:ascii="Calibri" w:hAnsi="Calibri" w:cs="Calibri"/>
          <w:color w:val="auto"/>
          <w:sz w:val="22"/>
          <w:szCs w:val="22"/>
        </w:rPr>
        <w:t xml:space="preserve"> proportionate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 xml:space="preserve"> increase in </w:t>
      </w:r>
      <w:r w:rsidR="00882EAE">
        <w:rPr>
          <w:rFonts w:ascii="Calibri" w:hAnsi="Calibri" w:cs="Calibri"/>
          <w:color w:val="auto"/>
          <w:sz w:val="22"/>
          <w:szCs w:val="22"/>
        </w:rPr>
        <w:t>this category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.</w:t>
      </w:r>
    </w:p>
    <w:p w14:paraId="59FA5133" w14:textId="1F865A0F" w:rsidR="00E67B39" w:rsidRPr="00214364" w:rsidRDefault="00942712" w:rsidP="00C92219">
      <w:pPr>
        <w:pStyle w:val="Heading3"/>
        <w:rPr>
          <w:rFonts w:eastAsia="Times New Roman"/>
          <w:lang w:eastAsia="en-IE"/>
        </w:rPr>
      </w:pPr>
      <w:r w:rsidRPr="00726B8C">
        <w:rPr>
          <w:rFonts w:eastAsia="Times New Roman"/>
          <w:lang w:eastAsia="en-IE"/>
        </w:rPr>
        <w:t>Table 1 – Caller Gender Profile</w:t>
      </w:r>
    </w:p>
    <w:tbl>
      <w:tblPr>
        <w:tblW w:w="9579" w:type="dxa"/>
        <w:tblLook w:val="04A0" w:firstRow="1" w:lastRow="0" w:firstColumn="1" w:lastColumn="0" w:noHBand="0" w:noVBand="1"/>
      </w:tblPr>
      <w:tblGrid>
        <w:gridCol w:w="2684"/>
        <w:gridCol w:w="2126"/>
        <w:gridCol w:w="2309"/>
        <w:gridCol w:w="2460"/>
      </w:tblGrid>
      <w:tr w:rsidR="00214364" w:rsidRPr="00104174" w14:paraId="55D5305E" w14:textId="77777777" w:rsidTr="00982CCA">
        <w:trPr>
          <w:trHeight w:val="323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hideMark/>
          </w:tcPr>
          <w:p w14:paraId="1013705A" w14:textId="77777777" w:rsidR="00214364" w:rsidRPr="00104174" w:rsidRDefault="00214364" w:rsidP="000430B2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A734FA">
              <w:rPr>
                <w:rFonts w:eastAsia="Times New Roman"/>
                <w:b/>
                <w:bCs/>
                <w:color w:val="FFFFFF" w:themeColor="background1"/>
                <w:lang w:eastAsia="en-IE"/>
              </w:rPr>
              <w:t>Caller Profile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hideMark/>
          </w:tcPr>
          <w:p w14:paraId="54C9F35A" w14:textId="77777777" w:rsidR="00214364" w:rsidRPr="00104174" w:rsidRDefault="00214364" w:rsidP="00391A7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8C0F82">
              <w:rPr>
                <w:rFonts w:eastAsia="Times New Roman"/>
                <w:b/>
                <w:bCs/>
                <w:color w:val="FFFFFF" w:themeColor="background1"/>
                <w:lang w:eastAsia="en-IE"/>
              </w:rPr>
              <w:t>Number of Callers</w:t>
            </w:r>
          </w:p>
        </w:tc>
        <w:tc>
          <w:tcPr>
            <w:tcW w:w="230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hideMark/>
          </w:tcPr>
          <w:p w14:paraId="6289A88C" w14:textId="77777777" w:rsidR="00214364" w:rsidRPr="00104174" w:rsidRDefault="00214364" w:rsidP="00391A7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8C0F82">
              <w:rPr>
                <w:rFonts w:eastAsia="Times New Roman"/>
                <w:b/>
                <w:bCs/>
                <w:color w:val="FFFFFF" w:themeColor="background1"/>
                <w:lang w:eastAsia="en-IE"/>
              </w:rPr>
              <w:t>% of Callers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</w:tcPr>
          <w:p w14:paraId="5613EF6E" w14:textId="0A6501EA" w:rsidR="00214364" w:rsidRPr="00982CCA" w:rsidRDefault="00214364" w:rsidP="00982C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8C0F82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% Change Q3 ’23–Q3 ‘24</w:t>
            </w:r>
          </w:p>
        </w:tc>
      </w:tr>
      <w:tr w:rsidR="00214364" w:rsidRPr="00104174" w14:paraId="12E48020" w14:textId="77777777" w:rsidTr="00982CCA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EAD6514" w14:textId="77777777" w:rsidR="00214364" w:rsidRPr="00C92219" w:rsidRDefault="00214364" w:rsidP="00CE689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0D0BB5CB" w14:textId="7EB45D62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56,789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1549D43C" w14:textId="77777777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55.9%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4C5FD112" w14:textId="4A888EC6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-5.4%</w:t>
            </w:r>
          </w:p>
        </w:tc>
      </w:tr>
      <w:tr w:rsidR="00214364" w:rsidRPr="00104174" w14:paraId="38E51576" w14:textId="77777777" w:rsidTr="00982CCA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3140445" w14:textId="77777777" w:rsidR="00214364" w:rsidRPr="00C92219" w:rsidRDefault="00214364" w:rsidP="00CE689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11F4B132" w14:textId="5F933700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37,601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733E94BE" w14:textId="02278640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37.0%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42DD2519" w14:textId="56C2F75C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-1.5%</w:t>
            </w:r>
          </w:p>
        </w:tc>
      </w:tr>
      <w:tr w:rsidR="00214364" w:rsidRPr="00104174" w14:paraId="74A173D2" w14:textId="77777777" w:rsidTr="00982CCA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775207D" w14:textId="77777777" w:rsidR="00214364" w:rsidRPr="00C92219" w:rsidRDefault="00214364" w:rsidP="00CE689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Couples/ Family Members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736C4654" w14:textId="2CB2E080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6,691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1BD30C70" w14:textId="1A7BA604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6.6%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0A90EB59" w14:textId="039C0871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+37.19%</w:t>
            </w:r>
          </w:p>
        </w:tc>
      </w:tr>
      <w:tr w:rsidR="00214364" w:rsidRPr="00104174" w14:paraId="2FBF25FC" w14:textId="77777777" w:rsidTr="00982CCA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0E52BDC" w14:textId="77777777" w:rsidR="00214364" w:rsidRPr="00C92219" w:rsidRDefault="00214364" w:rsidP="00CE689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Unknown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22D07868" w14:textId="43C0E909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529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32A7ED66" w14:textId="5660B499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0.5%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6F4B1DB2" w14:textId="3D98872B" w:rsidR="00214364" w:rsidRPr="00214364" w:rsidRDefault="00214364" w:rsidP="00CE68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214364">
              <w:rPr>
                <w:rFonts w:eastAsia="Times New Roman"/>
                <w:sz w:val="22"/>
                <w:szCs w:val="22"/>
                <w:lang w:eastAsia="en-IE"/>
              </w:rPr>
              <w:t>+37.8%</w:t>
            </w:r>
          </w:p>
        </w:tc>
      </w:tr>
    </w:tbl>
    <w:p w14:paraId="404AC925" w14:textId="77777777" w:rsidR="00214364" w:rsidRDefault="00214364" w:rsidP="00214364"/>
    <w:p w14:paraId="4A9BF7A1" w14:textId="5D3AFFAE" w:rsidR="007B1327" w:rsidRPr="007B1327" w:rsidRDefault="007B1327" w:rsidP="007B1327">
      <w:pPr>
        <w:pStyle w:val="Heading2"/>
      </w:pPr>
      <w:r w:rsidRPr="007B1327">
        <w:t>Age Profile</w:t>
      </w:r>
    </w:p>
    <w:p w14:paraId="50CEBF75" w14:textId="27067041" w:rsidR="00942712" w:rsidRPr="007B1327" w:rsidRDefault="00B828DA" w:rsidP="007B1327">
      <w:pPr>
        <w:rPr>
          <w:color w:val="FF0000"/>
          <w:sz w:val="22"/>
          <w:szCs w:val="22"/>
        </w:rPr>
      </w:pPr>
      <w:r w:rsidRPr="007B1327">
        <w:rPr>
          <w:sz w:val="22"/>
          <w:szCs w:val="22"/>
        </w:rPr>
        <w:t xml:space="preserve">Age was recorded for </w:t>
      </w:r>
      <w:r w:rsidR="00312A69" w:rsidRPr="007B1327">
        <w:rPr>
          <w:sz w:val="22"/>
          <w:szCs w:val="22"/>
        </w:rPr>
        <w:t>69.3</w:t>
      </w:r>
      <w:r w:rsidR="00B94214" w:rsidRPr="007B1327">
        <w:rPr>
          <w:sz w:val="22"/>
          <w:szCs w:val="22"/>
        </w:rPr>
        <w:t xml:space="preserve">% </w:t>
      </w:r>
      <w:r w:rsidR="007B1327" w:rsidRPr="007B1327">
        <w:rPr>
          <w:sz w:val="22"/>
          <w:szCs w:val="22"/>
        </w:rPr>
        <w:t xml:space="preserve">(70,389) </w:t>
      </w:r>
      <w:r w:rsidR="00B94214" w:rsidRPr="007B1327">
        <w:rPr>
          <w:sz w:val="22"/>
          <w:szCs w:val="22"/>
        </w:rPr>
        <w:t>of callers.</w:t>
      </w:r>
      <w:r w:rsidR="002454FF" w:rsidRPr="007B1327">
        <w:rPr>
          <w:sz w:val="22"/>
          <w:szCs w:val="22"/>
        </w:rPr>
        <w:t xml:space="preserve"> </w:t>
      </w:r>
      <w:r w:rsidR="007B1327" w:rsidRPr="007B1327">
        <w:rPr>
          <w:sz w:val="22"/>
          <w:szCs w:val="22"/>
        </w:rPr>
        <w:t xml:space="preserve">People aged </w:t>
      </w:r>
      <w:r w:rsidR="005C1732" w:rsidRPr="007B1327">
        <w:rPr>
          <w:sz w:val="22"/>
          <w:szCs w:val="22"/>
        </w:rPr>
        <w:t>26-45 contacted CISs most frequently</w:t>
      </w:r>
      <w:r w:rsidR="0076530D" w:rsidRPr="007B1327">
        <w:rPr>
          <w:sz w:val="22"/>
          <w:szCs w:val="22"/>
        </w:rPr>
        <w:t xml:space="preserve">, closely followed by </w:t>
      </w:r>
      <w:r w:rsidR="007B1327" w:rsidRPr="007B1327">
        <w:rPr>
          <w:sz w:val="22"/>
          <w:szCs w:val="22"/>
        </w:rPr>
        <w:t>people aged</w:t>
      </w:r>
      <w:r w:rsidR="0076530D" w:rsidRPr="007B1327">
        <w:rPr>
          <w:sz w:val="22"/>
          <w:szCs w:val="22"/>
        </w:rPr>
        <w:t xml:space="preserve"> 46-65.</w:t>
      </w:r>
    </w:p>
    <w:p w14:paraId="6F93AF4B" w14:textId="0374E0C5" w:rsidR="00E67B39" w:rsidRPr="00816688" w:rsidRDefault="00942712" w:rsidP="00C92219">
      <w:pPr>
        <w:pStyle w:val="Heading3"/>
        <w:rPr>
          <w:rFonts w:eastAsia="Times New Roman"/>
          <w:lang w:eastAsia="en-IE"/>
        </w:rPr>
      </w:pPr>
      <w:r w:rsidRPr="00726B8C">
        <w:rPr>
          <w:rFonts w:eastAsia="Times New Roman"/>
          <w:lang w:eastAsia="en-IE"/>
        </w:rPr>
        <w:t xml:space="preserve">Table 2 – Caller Age Profile </w:t>
      </w:r>
    </w:p>
    <w:tbl>
      <w:tblPr>
        <w:tblW w:w="9595" w:type="dxa"/>
        <w:tblInd w:w="-10" w:type="dxa"/>
        <w:tblLook w:val="04A0" w:firstRow="1" w:lastRow="0" w:firstColumn="1" w:lastColumn="0" w:noHBand="0" w:noVBand="1"/>
      </w:tblPr>
      <w:tblGrid>
        <w:gridCol w:w="2427"/>
        <w:gridCol w:w="2228"/>
        <w:gridCol w:w="2470"/>
        <w:gridCol w:w="2470"/>
      </w:tblGrid>
      <w:tr w:rsidR="00816688" w:rsidRPr="00104174" w14:paraId="559BE202" w14:textId="77777777" w:rsidTr="00407A25">
        <w:trPr>
          <w:trHeight w:val="274"/>
        </w:trPr>
        <w:tc>
          <w:tcPr>
            <w:tcW w:w="24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hideMark/>
          </w:tcPr>
          <w:p w14:paraId="53589032" w14:textId="77777777" w:rsidR="00816688" w:rsidRPr="00407A25" w:rsidRDefault="00816688" w:rsidP="00391A7E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391A7E">
              <w:rPr>
                <w:rFonts w:eastAsia="Times New Roman"/>
                <w:b/>
                <w:bCs/>
                <w:color w:val="FFFFFF" w:themeColor="background1"/>
                <w:lang w:eastAsia="en-IE"/>
              </w:rPr>
              <w:t>Caller Age Range</w:t>
            </w:r>
          </w:p>
        </w:tc>
        <w:tc>
          <w:tcPr>
            <w:tcW w:w="222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62A39F"/>
            <w:noWrap/>
            <w:hideMark/>
          </w:tcPr>
          <w:p w14:paraId="37B932CA" w14:textId="77777777" w:rsidR="00816688" w:rsidRPr="00391A7E" w:rsidRDefault="00816688" w:rsidP="00407A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IE"/>
              </w:rPr>
            </w:pPr>
            <w:r w:rsidRPr="00391A7E">
              <w:rPr>
                <w:rFonts w:eastAsia="Times New Roman"/>
                <w:b/>
                <w:bCs/>
                <w:color w:val="FFFFFF" w:themeColor="background1"/>
                <w:lang w:eastAsia="en-IE"/>
              </w:rPr>
              <w:t>Number of Callers</w:t>
            </w:r>
          </w:p>
        </w:tc>
        <w:tc>
          <w:tcPr>
            <w:tcW w:w="247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hideMark/>
          </w:tcPr>
          <w:p w14:paraId="56DE3883" w14:textId="77777777" w:rsidR="00816688" w:rsidRPr="00407A25" w:rsidRDefault="00816688" w:rsidP="00407A2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391A7E">
              <w:rPr>
                <w:rFonts w:eastAsia="Times New Roman"/>
                <w:b/>
                <w:bCs/>
                <w:color w:val="FFFFFF" w:themeColor="background1"/>
                <w:lang w:eastAsia="en-IE"/>
              </w:rPr>
              <w:t>% of Callers</w:t>
            </w:r>
          </w:p>
        </w:tc>
        <w:tc>
          <w:tcPr>
            <w:tcW w:w="2470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62A39F"/>
          </w:tcPr>
          <w:p w14:paraId="262ADE38" w14:textId="07E7E1B0" w:rsidR="00816688" w:rsidRPr="00407A25" w:rsidRDefault="00407A25" w:rsidP="00407A2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391A7E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% Change Q3 ’23–Q3 ‘24</w:t>
            </w:r>
          </w:p>
        </w:tc>
      </w:tr>
      <w:tr w:rsidR="00816688" w:rsidRPr="00104174" w14:paraId="6D9D243A" w14:textId="77777777" w:rsidTr="00407A25">
        <w:trPr>
          <w:trHeight w:val="48"/>
        </w:trPr>
        <w:tc>
          <w:tcPr>
            <w:tcW w:w="242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  <w:hideMark/>
          </w:tcPr>
          <w:p w14:paraId="583A547F" w14:textId="77777777" w:rsidR="00816688" w:rsidRPr="00104174" w:rsidRDefault="00816688" w:rsidP="00CF0269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50C869F2" w14:textId="77777777" w:rsidR="00816688" w:rsidRPr="00104174" w:rsidRDefault="00816688" w:rsidP="00CF0269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</w:p>
        </w:tc>
        <w:tc>
          <w:tcPr>
            <w:tcW w:w="247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39552A4" w14:textId="77777777" w:rsidR="00816688" w:rsidRPr="00104174" w:rsidRDefault="00816688" w:rsidP="00CF0269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</w:p>
        </w:tc>
        <w:tc>
          <w:tcPr>
            <w:tcW w:w="247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</w:tcPr>
          <w:p w14:paraId="02901C5F" w14:textId="77777777" w:rsidR="00816688" w:rsidRPr="00104174" w:rsidRDefault="00816688" w:rsidP="00CF0269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</w:p>
        </w:tc>
      </w:tr>
      <w:tr w:rsidR="00816688" w:rsidRPr="00104174" w14:paraId="0F13E864" w14:textId="77777777" w:rsidTr="00CF0269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083BC5C" w14:textId="77777777" w:rsidR="00816688" w:rsidRPr="00C92219" w:rsidRDefault="00816688" w:rsidP="00CF026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26-45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18DDE692" w14:textId="366F6F5A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27,294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13E33E04" w14:textId="288DB2A1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38.8%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0FCEE42A" w14:textId="07177DB6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-2.3%</w:t>
            </w:r>
          </w:p>
        </w:tc>
      </w:tr>
      <w:tr w:rsidR="00816688" w:rsidRPr="00104174" w14:paraId="14B1A504" w14:textId="77777777" w:rsidTr="00CF0269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9C70299" w14:textId="77777777" w:rsidR="00816688" w:rsidRPr="00C92219" w:rsidRDefault="00816688" w:rsidP="00CF026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46-65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bottom"/>
            <w:hideMark/>
          </w:tcPr>
          <w:p w14:paraId="32BB58E3" w14:textId="606284FE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27,144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584DC3DF" w14:textId="36648B38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38.6%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3A601FD3" w14:textId="4D5F7299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+0.5%</w:t>
            </w:r>
          </w:p>
        </w:tc>
      </w:tr>
      <w:tr w:rsidR="00816688" w:rsidRPr="00104174" w14:paraId="0FADF27C" w14:textId="77777777" w:rsidTr="00CF0269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E14493D" w14:textId="5A6D3CD7" w:rsidR="00816688" w:rsidRPr="00C92219" w:rsidRDefault="00816688" w:rsidP="00CF026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 xml:space="preserve">66 and </w:t>
            </w:r>
            <w:r w:rsidR="00860A5D" w:rsidRPr="00C92219">
              <w:rPr>
                <w:rFonts w:eastAsia="Times New Roman"/>
                <w:sz w:val="22"/>
                <w:szCs w:val="22"/>
                <w:lang w:eastAsia="en-IE"/>
              </w:rPr>
              <w:t>over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6B4AB19A" w14:textId="775AEC04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13,524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2B8C584F" w14:textId="5B4803C4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19.2%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42248FD0" w14:textId="2A218254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+2.4%</w:t>
            </w:r>
          </w:p>
        </w:tc>
      </w:tr>
      <w:tr w:rsidR="00816688" w:rsidRPr="00104174" w14:paraId="4949EAC0" w14:textId="77777777" w:rsidTr="00CF0269">
        <w:trPr>
          <w:trHeight w:val="261"/>
        </w:trPr>
        <w:tc>
          <w:tcPr>
            <w:tcW w:w="242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F3C434F" w14:textId="1803321A" w:rsidR="00816688" w:rsidRPr="00C92219" w:rsidRDefault="00816688" w:rsidP="00CF026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 xml:space="preserve">25 and </w:t>
            </w:r>
            <w:r w:rsidR="00860A5D" w:rsidRPr="00C92219">
              <w:rPr>
                <w:rFonts w:eastAsia="Times New Roman"/>
                <w:sz w:val="22"/>
                <w:szCs w:val="22"/>
                <w:lang w:eastAsia="en-IE"/>
              </w:rPr>
              <w:t>under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FECEB"/>
            <w:noWrap/>
            <w:vAlign w:val="bottom"/>
            <w:hideMark/>
          </w:tcPr>
          <w:p w14:paraId="65EEF361" w14:textId="3A21A72A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2,427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1AFBCD99" w14:textId="51E72442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3.5%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0DAD8"/>
          </w:tcPr>
          <w:p w14:paraId="490B15A3" w14:textId="2AAD0313" w:rsidR="00816688" w:rsidRPr="00C92219" w:rsidRDefault="00816688" w:rsidP="00CF026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IE"/>
              </w:rPr>
            </w:pPr>
            <w:r w:rsidRPr="00C92219">
              <w:rPr>
                <w:rFonts w:eastAsia="Times New Roman"/>
                <w:sz w:val="22"/>
                <w:szCs w:val="22"/>
                <w:lang w:eastAsia="en-IE"/>
              </w:rPr>
              <w:t>-0.3%</w:t>
            </w:r>
          </w:p>
        </w:tc>
      </w:tr>
    </w:tbl>
    <w:p w14:paraId="11F7327D" w14:textId="77777777" w:rsidR="00816688" w:rsidRPr="00726B8C" w:rsidRDefault="00816688" w:rsidP="00942712">
      <w:pPr>
        <w:jc w:val="both"/>
        <w:rPr>
          <w:sz w:val="22"/>
          <w:szCs w:val="22"/>
        </w:rPr>
      </w:pPr>
    </w:p>
    <w:p w14:paraId="384356F2" w14:textId="7A6D3004" w:rsidR="007B1327" w:rsidRPr="007B1327" w:rsidRDefault="007B1327" w:rsidP="007B1327">
      <w:pPr>
        <w:pStyle w:val="Heading2"/>
      </w:pPr>
      <w:r w:rsidRPr="007B1327">
        <w:t>Mode of contact</w:t>
      </w:r>
    </w:p>
    <w:p w14:paraId="50476593" w14:textId="2BABE5F5" w:rsidR="007B1327" w:rsidRPr="00290362" w:rsidRDefault="00B20AA1" w:rsidP="002903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In-person </w:t>
      </w:r>
      <w:r w:rsidR="00E04CE2">
        <w:rPr>
          <w:sz w:val="22"/>
          <w:szCs w:val="22"/>
        </w:rPr>
        <w:t xml:space="preserve">(personal) </w:t>
      </w:r>
      <w:r>
        <w:rPr>
          <w:sz w:val="22"/>
          <w:szCs w:val="22"/>
        </w:rPr>
        <w:t xml:space="preserve">callers accounted for </w:t>
      </w:r>
      <w:r w:rsidR="00181434" w:rsidRPr="00726B8C">
        <w:rPr>
          <w:sz w:val="22"/>
          <w:szCs w:val="22"/>
        </w:rPr>
        <w:t xml:space="preserve">67.2% of </w:t>
      </w:r>
      <w:r>
        <w:rPr>
          <w:sz w:val="22"/>
          <w:szCs w:val="22"/>
        </w:rPr>
        <w:t>interactions</w:t>
      </w:r>
      <w:r w:rsidR="00B60996" w:rsidRPr="00726B8C">
        <w:rPr>
          <w:sz w:val="22"/>
          <w:szCs w:val="22"/>
        </w:rPr>
        <w:t xml:space="preserve">, of </w:t>
      </w:r>
      <w:r>
        <w:rPr>
          <w:sz w:val="22"/>
          <w:szCs w:val="22"/>
        </w:rPr>
        <w:t>which</w:t>
      </w:r>
      <w:r w:rsidRPr="00726B8C">
        <w:rPr>
          <w:sz w:val="22"/>
          <w:szCs w:val="22"/>
        </w:rPr>
        <w:t xml:space="preserve"> </w:t>
      </w:r>
      <w:r w:rsidR="008B7ED2" w:rsidRPr="00726B8C">
        <w:rPr>
          <w:sz w:val="22"/>
          <w:szCs w:val="22"/>
        </w:rPr>
        <w:t xml:space="preserve">93.1% were </w:t>
      </w:r>
      <w:r>
        <w:rPr>
          <w:sz w:val="22"/>
          <w:szCs w:val="22"/>
        </w:rPr>
        <w:t>d</w:t>
      </w:r>
      <w:r w:rsidRPr="00726B8C">
        <w:rPr>
          <w:sz w:val="22"/>
          <w:szCs w:val="22"/>
        </w:rPr>
        <w:t>rop</w:t>
      </w:r>
      <w:r w:rsidR="008B7ED2" w:rsidRPr="00726B8C">
        <w:rPr>
          <w:sz w:val="22"/>
          <w:szCs w:val="22"/>
        </w:rPr>
        <w:t>-in (63,617 callers)</w:t>
      </w:r>
      <w:r>
        <w:rPr>
          <w:sz w:val="22"/>
          <w:szCs w:val="22"/>
        </w:rPr>
        <w:t xml:space="preserve"> and</w:t>
      </w:r>
      <w:r w:rsidR="008B7ED2" w:rsidRPr="00726B8C">
        <w:rPr>
          <w:sz w:val="22"/>
          <w:szCs w:val="22"/>
        </w:rPr>
        <w:t xml:space="preserve"> 6.9</w:t>
      </w:r>
      <w:r w:rsidR="00B001E5" w:rsidRPr="00726B8C">
        <w:rPr>
          <w:sz w:val="22"/>
          <w:szCs w:val="22"/>
        </w:rPr>
        <w:t xml:space="preserve">% were by </w:t>
      </w:r>
      <w:r>
        <w:rPr>
          <w:sz w:val="22"/>
          <w:szCs w:val="22"/>
        </w:rPr>
        <w:t>a</w:t>
      </w:r>
      <w:r w:rsidRPr="00726B8C">
        <w:rPr>
          <w:sz w:val="22"/>
          <w:szCs w:val="22"/>
        </w:rPr>
        <w:t xml:space="preserve">ppointment </w:t>
      </w:r>
      <w:r w:rsidR="00B001E5" w:rsidRPr="00726B8C">
        <w:rPr>
          <w:sz w:val="22"/>
          <w:szCs w:val="22"/>
        </w:rPr>
        <w:t>(4,699 callers).</w:t>
      </w:r>
      <w:r w:rsidR="00601B72" w:rsidRPr="00726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Telephone interactions accounted for </w:t>
      </w:r>
      <w:r w:rsidR="00601B72" w:rsidRPr="00726B8C">
        <w:rPr>
          <w:sz w:val="22"/>
          <w:szCs w:val="22"/>
        </w:rPr>
        <w:t xml:space="preserve">29.9% of </w:t>
      </w:r>
      <w:r w:rsidR="00D8692F" w:rsidRPr="00726B8C">
        <w:rPr>
          <w:sz w:val="22"/>
          <w:szCs w:val="22"/>
        </w:rPr>
        <w:t>callers,</w:t>
      </w:r>
      <w:r>
        <w:rPr>
          <w:sz w:val="22"/>
          <w:szCs w:val="22"/>
        </w:rPr>
        <w:t xml:space="preserve"> with</w:t>
      </w:r>
      <w:r w:rsidR="00601B72" w:rsidRPr="00726B8C">
        <w:rPr>
          <w:sz w:val="22"/>
          <w:szCs w:val="22"/>
        </w:rPr>
        <w:t xml:space="preserve"> </w:t>
      </w:r>
      <w:r w:rsidR="00173A5F" w:rsidRPr="00726B8C">
        <w:rPr>
          <w:sz w:val="22"/>
          <w:szCs w:val="22"/>
        </w:rPr>
        <w:t xml:space="preserve">2.9% </w:t>
      </w:r>
      <w:r>
        <w:rPr>
          <w:sz w:val="22"/>
          <w:szCs w:val="22"/>
        </w:rPr>
        <w:t xml:space="preserve">contacting the CIS </w:t>
      </w:r>
      <w:r w:rsidR="00173A5F" w:rsidRPr="00726B8C">
        <w:rPr>
          <w:sz w:val="22"/>
          <w:szCs w:val="22"/>
        </w:rPr>
        <w:t>by letter or email.</w:t>
      </w:r>
    </w:p>
    <w:p w14:paraId="3295355D" w14:textId="44149E6A" w:rsidR="00942712" w:rsidRPr="00C92219" w:rsidRDefault="00942712" w:rsidP="00C92219">
      <w:pPr>
        <w:pStyle w:val="Heading3"/>
        <w:rPr>
          <w:rFonts w:eastAsia="Times New Roman"/>
          <w:color w:val="1481AB" w:themeColor="accent1" w:themeShade="BF"/>
          <w:lang w:eastAsia="en-IE"/>
        </w:rPr>
      </w:pPr>
      <w:r w:rsidRPr="00726B8C">
        <w:rPr>
          <w:rFonts w:eastAsia="Times New Roman"/>
          <w:lang w:eastAsia="en-IE"/>
        </w:rPr>
        <w:t xml:space="preserve">Table 3 – Caller Mode of Contact </w:t>
      </w:r>
    </w:p>
    <w:tbl>
      <w:tblPr>
        <w:tblStyle w:val="GridTable5Dark-Accent6"/>
        <w:tblW w:w="9607" w:type="dxa"/>
        <w:tblLook w:val="04A0" w:firstRow="1" w:lastRow="0" w:firstColumn="1" w:lastColumn="0" w:noHBand="0" w:noVBand="1"/>
      </w:tblPr>
      <w:tblGrid>
        <w:gridCol w:w="2029"/>
        <w:gridCol w:w="2640"/>
        <w:gridCol w:w="2481"/>
        <w:gridCol w:w="2457"/>
      </w:tblGrid>
      <w:tr w:rsidR="00BA6D11" w:rsidRPr="00BA6D11" w14:paraId="71EB8EED" w14:textId="77777777" w:rsidTr="00CF0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3CFF10D4" w14:textId="77777777" w:rsidR="00816688" w:rsidRPr="00816688" w:rsidRDefault="00816688" w:rsidP="0081668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A6D1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640" w:type="dxa"/>
            <w:noWrap/>
            <w:hideMark/>
          </w:tcPr>
          <w:p w14:paraId="20357B12" w14:textId="77777777" w:rsidR="00816688" w:rsidRPr="00816688" w:rsidRDefault="00816688" w:rsidP="00816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A6D1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3EBF2427" w14:textId="77777777" w:rsidR="00816688" w:rsidRPr="00816688" w:rsidRDefault="00816688" w:rsidP="00816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A6D1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% of Callers</w:t>
            </w:r>
          </w:p>
        </w:tc>
        <w:tc>
          <w:tcPr>
            <w:tcW w:w="2457" w:type="dxa"/>
          </w:tcPr>
          <w:p w14:paraId="45DAB200" w14:textId="7F823AE3" w:rsidR="00816688" w:rsidRPr="00BA6D11" w:rsidRDefault="00816688" w:rsidP="00816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BA6D11">
              <w:rPr>
                <w:rFonts w:ascii="Calibri" w:eastAsia="Times New Roman" w:hAnsi="Calibri" w:cs="Calibri"/>
                <w:lang w:eastAsia="en-IE"/>
              </w:rPr>
              <w:t>% Change Q3 ’23–Q3 ‘24</w:t>
            </w:r>
          </w:p>
        </w:tc>
      </w:tr>
      <w:tr w:rsidR="00816688" w:rsidRPr="00816688" w14:paraId="4C597F5E" w14:textId="77777777" w:rsidTr="00407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74D70DA2" w14:textId="6F06AE69" w:rsidR="00816688" w:rsidRPr="00C92219" w:rsidRDefault="00586C6E" w:rsidP="0081668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  <w:t>In-person</w:t>
            </w:r>
          </w:p>
        </w:tc>
        <w:tc>
          <w:tcPr>
            <w:tcW w:w="2640" w:type="dxa"/>
            <w:noWrap/>
            <w:hideMark/>
          </w:tcPr>
          <w:p w14:paraId="793303A6" w14:textId="15018FA9" w:rsidR="00816688" w:rsidRPr="00816688" w:rsidRDefault="00816688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8,316</w:t>
            </w:r>
          </w:p>
        </w:tc>
        <w:tc>
          <w:tcPr>
            <w:tcW w:w="2481" w:type="dxa"/>
            <w:noWrap/>
            <w:hideMark/>
          </w:tcPr>
          <w:p w14:paraId="351FE4A0" w14:textId="6192B64E" w:rsidR="00816688" w:rsidRPr="00816688" w:rsidRDefault="00816688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7.2</w:t>
            </w: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457" w:type="dxa"/>
          </w:tcPr>
          <w:p w14:paraId="2392A891" w14:textId="60D0A246" w:rsidR="00816688" w:rsidRPr="00816688" w:rsidRDefault="00816688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6.7</w:t>
            </w: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816688" w:rsidRPr="00816688" w14:paraId="3D97209A" w14:textId="77777777" w:rsidTr="00407A2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</w:tcPr>
          <w:p w14:paraId="207817EF" w14:textId="77777777" w:rsidR="00816688" w:rsidRPr="00C92219" w:rsidRDefault="00816688" w:rsidP="0081668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C92219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  <w:t>Telephone</w:t>
            </w:r>
          </w:p>
        </w:tc>
        <w:tc>
          <w:tcPr>
            <w:tcW w:w="2640" w:type="dxa"/>
            <w:noWrap/>
          </w:tcPr>
          <w:p w14:paraId="3A3AFD0C" w14:textId="0EF5CEC7" w:rsidR="00816688" w:rsidRPr="00816688" w:rsidRDefault="00816688" w:rsidP="00816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30,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374</w:t>
            </w:r>
          </w:p>
        </w:tc>
        <w:tc>
          <w:tcPr>
            <w:tcW w:w="2481" w:type="dxa"/>
            <w:noWrap/>
          </w:tcPr>
          <w:p w14:paraId="040A8B4E" w14:textId="495F6F9B" w:rsidR="00816688" w:rsidRPr="00816688" w:rsidRDefault="00816688" w:rsidP="00816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29.9</w:t>
            </w: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  <w:tc>
          <w:tcPr>
            <w:tcW w:w="2457" w:type="dxa"/>
          </w:tcPr>
          <w:p w14:paraId="238EEFED" w14:textId="7F660210" w:rsidR="00816688" w:rsidRPr="00816688" w:rsidRDefault="00816688" w:rsidP="00816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-16.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816688" w:rsidRPr="00816688" w14:paraId="764F89A9" w14:textId="77777777" w:rsidTr="00407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69CA950D" w14:textId="77777777" w:rsidR="00816688" w:rsidRPr="00C92219" w:rsidRDefault="00816688" w:rsidP="0081668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C92219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  <w:t>Letter/Email</w:t>
            </w:r>
          </w:p>
        </w:tc>
        <w:tc>
          <w:tcPr>
            <w:tcW w:w="2640" w:type="dxa"/>
            <w:noWrap/>
            <w:hideMark/>
          </w:tcPr>
          <w:p w14:paraId="1BC4FD26" w14:textId="51B8D2E5" w:rsidR="00816688" w:rsidRPr="00816688" w:rsidRDefault="00816688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920</w:t>
            </w:r>
          </w:p>
        </w:tc>
        <w:tc>
          <w:tcPr>
            <w:tcW w:w="2481" w:type="dxa"/>
            <w:noWrap/>
            <w:hideMark/>
          </w:tcPr>
          <w:p w14:paraId="6F306415" w14:textId="77777777" w:rsidR="00816688" w:rsidRPr="00816688" w:rsidRDefault="00816688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2.9%</w:t>
            </w:r>
          </w:p>
        </w:tc>
        <w:tc>
          <w:tcPr>
            <w:tcW w:w="2457" w:type="dxa"/>
          </w:tcPr>
          <w:p w14:paraId="2E7C6C32" w14:textId="48B50F09" w:rsidR="00816688" w:rsidRPr="00816688" w:rsidRDefault="00816688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-7.1</w:t>
            </w:r>
            <w:r w:rsidRPr="00816688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</w:tbl>
    <w:p w14:paraId="494FC1CB" w14:textId="77777777" w:rsidR="00214364" w:rsidRPr="00726B8C" w:rsidRDefault="00214364" w:rsidP="00942712">
      <w:pPr>
        <w:rPr>
          <w:rFonts w:asciiTheme="minorHAnsi" w:hAnsiTheme="minorHAnsi" w:cstheme="minorHAnsi"/>
          <w:sz w:val="22"/>
          <w:szCs w:val="22"/>
        </w:rPr>
      </w:pPr>
    </w:p>
    <w:p w14:paraId="5932CF45" w14:textId="77777777" w:rsidR="00030DE2" w:rsidRPr="00726B8C" w:rsidRDefault="00030DE2" w:rsidP="007B1327">
      <w:pPr>
        <w:pStyle w:val="Heading2"/>
      </w:pPr>
      <w:r w:rsidRPr="00726B8C">
        <w:lastRenderedPageBreak/>
        <w:t xml:space="preserve">Country of Origin </w:t>
      </w:r>
    </w:p>
    <w:p w14:paraId="2ED6934F" w14:textId="209B073F" w:rsidR="00375B16" w:rsidRPr="00726B8C" w:rsidRDefault="008F7417" w:rsidP="00A54CB3">
      <w:pPr>
        <w:jc w:val="both"/>
        <w:rPr>
          <w:sz w:val="22"/>
          <w:szCs w:val="22"/>
        </w:rPr>
      </w:pPr>
      <w:r w:rsidRPr="00726B8C">
        <w:rPr>
          <w:sz w:val="22"/>
          <w:szCs w:val="22"/>
        </w:rPr>
        <w:t xml:space="preserve">Country of Origin was recorded for </w:t>
      </w:r>
      <w:r w:rsidR="00931594" w:rsidRPr="00726B8C">
        <w:rPr>
          <w:sz w:val="22"/>
          <w:szCs w:val="22"/>
        </w:rPr>
        <w:t>62.2% of callers (63,218 of 101,610 callers)</w:t>
      </w:r>
      <w:r w:rsidR="009A1447" w:rsidRPr="00726B8C">
        <w:rPr>
          <w:sz w:val="22"/>
          <w:szCs w:val="22"/>
        </w:rPr>
        <w:t>.</w:t>
      </w:r>
      <w:r w:rsidR="00665C96" w:rsidRPr="00726B8C">
        <w:rPr>
          <w:sz w:val="22"/>
          <w:szCs w:val="22"/>
        </w:rPr>
        <w:t xml:space="preserve"> </w:t>
      </w:r>
      <w:r w:rsidR="00B20AA1">
        <w:rPr>
          <w:sz w:val="22"/>
          <w:szCs w:val="22"/>
        </w:rPr>
        <w:t>The large majority (</w:t>
      </w:r>
      <w:r w:rsidR="00665C96" w:rsidRPr="00726B8C">
        <w:rPr>
          <w:sz w:val="22"/>
          <w:szCs w:val="22"/>
        </w:rPr>
        <w:t>74.5%</w:t>
      </w:r>
      <w:r w:rsidR="00B20AA1">
        <w:rPr>
          <w:sz w:val="22"/>
          <w:szCs w:val="22"/>
        </w:rPr>
        <w:t>)</w:t>
      </w:r>
      <w:r w:rsidR="00665C96" w:rsidRPr="00726B8C">
        <w:rPr>
          <w:sz w:val="22"/>
          <w:szCs w:val="22"/>
        </w:rPr>
        <w:t xml:space="preserve"> of </w:t>
      </w:r>
      <w:r w:rsidR="001D3F80">
        <w:rPr>
          <w:sz w:val="22"/>
          <w:szCs w:val="22"/>
        </w:rPr>
        <w:t xml:space="preserve">those </w:t>
      </w:r>
      <w:r w:rsidR="00665C96" w:rsidRPr="00726B8C">
        <w:rPr>
          <w:sz w:val="22"/>
          <w:szCs w:val="22"/>
        </w:rPr>
        <w:t>came from Ireland (47,072 callers</w:t>
      </w:r>
      <w:r w:rsidR="00E56338" w:rsidRPr="00726B8C">
        <w:rPr>
          <w:sz w:val="22"/>
          <w:szCs w:val="22"/>
        </w:rPr>
        <w:t>)</w:t>
      </w:r>
      <w:r w:rsidR="001D3F80">
        <w:rPr>
          <w:sz w:val="22"/>
          <w:szCs w:val="22"/>
        </w:rPr>
        <w:t xml:space="preserve">, with </w:t>
      </w:r>
      <w:r w:rsidR="0076530D">
        <w:rPr>
          <w:sz w:val="22"/>
          <w:szCs w:val="22"/>
        </w:rPr>
        <w:t xml:space="preserve">non-EU callers </w:t>
      </w:r>
      <w:r w:rsidR="001D3F80">
        <w:rPr>
          <w:sz w:val="22"/>
          <w:szCs w:val="22"/>
        </w:rPr>
        <w:t>representing</w:t>
      </w:r>
      <w:r w:rsidR="001D3F80" w:rsidRPr="00726B8C">
        <w:rPr>
          <w:sz w:val="22"/>
          <w:szCs w:val="22"/>
        </w:rPr>
        <w:t xml:space="preserve"> </w:t>
      </w:r>
      <w:r w:rsidR="00573608" w:rsidRPr="00726B8C">
        <w:rPr>
          <w:sz w:val="22"/>
          <w:szCs w:val="22"/>
        </w:rPr>
        <w:t>17.5% (11,068)</w:t>
      </w:r>
      <w:r w:rsidR="001D3F80">
        <w:rPr>
          <w:sz w:val="22"/>
          <w:szCs w:val="22"/>
        </w:rPr>
        <w:t xml:space="preserve"> of callers where country of origin was recorded and a further</w:t>
      </w:r>
      <w:r w:rsidR="00573608" w:rsidRPr="00726B8C">
        <w:rPr>
          <w:sz w:val="22"/>
          <w:szCs w:val="22"/>
        </w:rPr>
        <w:t xml:space="preserve"> 8.0%</w:t>
      </w:r>
      <w:r w:rsidR="00DB2C9C" w:rsidRPr="00726B8C">
        <w:rPr>
          <w:sz w:val="22"/>
          <w:szCs w:val="22"/>
        </w:rPr>
        <w:t xml:space="preserve"> </w:t>
      </w:r>
      <w:r w:rsidR="001D3F80">
        <w:rPr>
          <w:sz w:val="22"/>
          <w:szCs w:val="22"/>
        </w:rPr>
        <w:t>with a</w:t>
      </w:r>
      <w:r w:rsidR="00DB2C9C" w:rsidRPr="00726B8C">
        <w:rPr>
          <w:sz w:val="22"/>
          <w:szCs w:val="22"/>
        </w:rPr>
        <w:t xml:space="preserve"> European Union (excluding Ireland)</w:t>
      </w:r>
      <w:r w:rsidR="001D3F80">
        <w:rPr>
          <w:sz w:val="22"/>
          <w:szCs w:val="22"/>
        </w:rPr>
        <w:t xml:space="preserve"> country of origin</w:t>
      </w:r>
      <w:r w:rsidR="00DB2C9C" w:rsidRPr="00726B8C">
        <w:rPr>
          <w:sz w:val="22"/>
          <w:szCs w:val="22"/>
        </w:rPr>
        <w:t xml:space="preserve"> (5,078 callers).</w:t>
      </w:r>
    </w:p>
    <w:p w14:paraId="6509CA87" w14:textId="022CE8D8" w:rsidR="00711918" w:rsidRPr="00816688" w:rsidRDefault="00676842" w:rsidP="00C92219">
      <w:pPr>
        <w:pStyle w:val="Heading3"/>
        <w:rPr>
          <w:rFonts w:eastAsia="Times New Roman"/>
          <w:lang w:eastAsia="en-IE"/>
        </w:rPr>
      </w:pPr>
      <w:r w:rsidRPr="00726B8C">
        <w:rPr>
          <w:rFonts w:eastAsia="Times New Roman"/>
          <w:lang w:eastAsia="en-IE"/>
        </w:rPr>
        <w:t xml:space="preserve">Table </w:t>
      </w:r>
      <w:r w:rsidR="008A17BD" w:rsidRPr="00726B8C">
        <w:rPr>
          <w:rFonts w:eastAsia="Times New Roman"/>
          <w:lang w:eastAsia="en-IE"/>
        </w:rPr>
        <w:t>4:</w:t>
      </w:r>
      <w:r w:rsidR="00EE4AB7" w:rsidRPr="00726B8C">
        <w:rPr>
          <w:rFonts w:eastAsia="Times New Roman"/>
          <w:lang w:eastAsia="en-IE"/>
        </w:rPr>
        <w:t xml:space="preserve"> Top 5 Countries of Origin of callers (excluding Ireland)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860"/>
        <w:gridCol w:w="4397"/>
        <w:gridCol w:w="3923"/>
      </w:tblGrid>
      <w:tr w:rsidR="00816688" w14:paraId="723FF58C" w14:textId="77777777" w:rsidTr="00C92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7CD9DC44" w14:textId="77777777" w:rsidR="00816688" w:rsidRDefault="00816688" w:rsidP="00CF0269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397" w:type="dxa"/>
          </w:tcPr>
          <w:p w14:paraId="4CE424C6" w14:textId="77777777" w:rsidR="00816688" w:rsidRDefault="00816688" w:rsidP="00C92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Country of Origin</w:t>
            </w:r>
          </w:p>
        </w:tc>
        <w:tc>
          <w:tcPr>
            <w:tcW w:w="3923" w:type="dxa"/>
          </w:tcPr>
          <w:p w14:paraId="6763945F" w14:textId="77777777" w:rsidR="00816688" w:rsidRDefault="00816688" w:rsidP="00C92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Number of callers</w:t>
            </w:r>
          </w:p>
        </w:tc>
      </w:tr>
      <w:tr w:rsidR="00816688" w14:paraId="53E79502" w14:textId="77777777" w:rsidTr="00C9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1ABBF16D" w14:textId="77777777" w:rsidR="00816688" w:rsidRDefault="00816688" w:rsidP="00CF0269">
            <w:pPr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1</w:t>
            </w:r>
          </w:p>
        </w:tc>
        <w:tc>
          <w:tcPr>
            <w:tcW w:w="4397" w:type="dxa"/>
          </w:tcPr>
          <w:p w14:paraId="372995ED" w14:textId="03EAB4C8" w:rsidR="00816688" w:rsidRDefault="00816688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Ukraine</w:t>
            </w:r>
          </w:p>
        </w:tc>
        <w:tc>
          <w:tcPr>
            <w:tcW w:w="3923" w:type="dxa"/>
          </w:tcPr>
          <w:p w14:paraId="516968D5" w14:textId="66983B4F" w:rsidR="00816688" w:rsidRDefault="00816688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1,821</w:t>
            </w:r>
          </w:p>
        </w:tc>
      </w:tr>
      <w:tr w:rsidR="00816688" w14:paraId="7E8A7FBC" w14:textId="77777777" w:rsidTr="00C92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764C6190" w14:textId="77777777" w:rsidR="00816688" w:rsidRDefault="00816688" w:rsidP="00CF0269">
            <w:pPr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2</w:t>
            </w:r>
          </w:p>
        </w:tc>
        <w:tc>
          <w:tcPr>
            <w:tcW w:w="4397" w:type="dxa"/>
          </w:tcPr>
          <w:p w14:paraId="6B47CA78" w14:textId="6DD8779A" w:rsidR="00816688" w:rsidRDefault="00816688" w:rsidP="00C92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Poland</w:t>
            </w:r>
          </w:p>
        </w:tc>
        <w:tc>
          <w:tcPr>
            <w:tcW w:w="3923" w:type="dxa"/>
          </w:tcPr>
          <w:p w14:paraId="3C2F52DB" w14:textId="0263DFF0" w:rsidR="00816688" w:rsidRDefault="00816688" w:rsidP="00C92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1,741</w:t>
            </w:r>
          </w:p>
        </w:tc>
      </w:tr>
      <w:tr w:rsidR="00816688" w14:paraId="270E4A0B" w14:textId="77777777" w:rsidTr="00C9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225349E2" w14:textId="77777777" w:rsidR="00816688" w:rsidRDefault="00816688" w:rsidP="00CF0269">
            <w:pPr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3</w:t>
            </w:r>
          </w:p>
        </w:tc>
        <w:tc>
          <w:tcPr>
            <w:tcW w:w="4397" w:type="dxa"/>
          </w:tcPr>
          <w:p w14:paraId="70461CDE" w14:textId="77777777" w:rsidR="00816688" w:rsidRDefault="00816688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Nigeria</w:t>
            </w:r>
          </w:p>
        </w:tc>
        <w:tc>
          <w:tcPr>
            <w:tcW w:w="3923" w:type="dxa"/>
          </w:tcPr>
          <w:p w14:paraId="4CCE7293" w14:textId="08174827" w:rsidR="00816688" w:rsidRDefault="00816688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1,435</w:t>
            </w:r>
          </w:p>
        </w:tc>
      </w:tr>
      <w:tr w:rsidR="00816688" w14:paraId="2FF8386A" w14:textId="77777777" w:rsidTr="00C92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6A3B5D43" w14:textId="77777777" w:rsidR="00816688" w:rsidRDefault="00816688" w:rsidP="00CF0269">
            <w:pPr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4</w:t>
            </w:r>
          </w:p>
        </w:tc>
        <w:tc>
          <w:tcPr>
            <w:tcW w:w="4397" w:type="dxa"/>
          </w:tcPr>
          <w:p w14:paraId="0275C84F" w14:textId="77777777" w:rsidR="00816688" w:rsidRDefault="00816688" w:rsidP="00C92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United Kingdom</w:t>
            </w:r>
          </w:p>
        </w:tc>
        <w:tc>
          <w:tcPr>
            <w:tcW w:w="3923" w:type="dxa"/>
          </w:tcPr>
          <w:p w14:paraId="7B922090" w14:textId="098139E9" w:rsidR="00816688" w:rsidRDefault="00816688" w:rsidP="00C92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1,014</w:t>
            </w:r>
          </w:p>
        </w:tc>
      </w:tr>
      <w:tr w:rsidR="00816688" w14:paraId="26C837E7" w14:textId="77777777" w:rsidTr="00C9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60990DE7" w14:textId="77777777" w:rsidR="00816688" w:rsidRDefault="00816688" w:rsidP="00CF0269">
            <w:pPr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5</w:t>
            </w:r>
          </w:p>
        </w:tc>
        <w:tc>
          <w:tcPr>
            <w:tcW w:w="4397" w:type="dxa"/>
          </w:tcPr>
          <w:p w14:paraId="6AB73720" w14:textId="77777777" w:rsidR="00816688" w:rsidRDefault="00816688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Romania</w:t>
            </w:r>
          </w:p>
        </w:tc>
        <w:tc>
          <w:tcPr>
            <w:tcW w:w="3923" w:type="dxa"/>
          </w:tcPr>
          <w:p w14:paraId="11CAA929" w14:textId="29ECF2D7" w:rsidR="00816688" w:rsidRDefault="00816688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811</w:t>
            </w:r>
          </w:p>
        </w:tc>
      </w:tr>
    </w:tbl>
    <w:p w14:paraId="0D233EC0" w14:textId="77777777" w:rsidR="00C92219" w:rsidRDefault="00C92219" w:rsidP="00C92219">
      <w:pPr>
        <w:pStyle w:val="Heading3"/>
        <w:rPr>
          <w:rFonts w:eastAsia="Times New Roman"/>
          <w:lang w:eastAsia="en-IE"/>
        </w:rPr>
      </w:pPr>
    </w:p>
    <w:p w14:paraId="6D9536F6" w14:textId="137F13B2" w:rsidR="008A17BD" w:rsidRPr="00726B8C" w:rsidRDefault="00711918" w:rsidP="00C92219">
      <w:pPr>
        <w:pStyle w:val="Heading3"/>
        <w:rPr>
          <w:rFonts w:eastAsia="Times New Roman"/>
          <w:lang w:eastAsia="en-IE"/>
        </w:rPr>
      </w:pPr>
      <w:r w:rsidRPr="00726B8C">
        <w:rPr>
          <w:rFonts w:eastAsia="Times New Roman"/>
          <w:lang w:eastAsia="en-IE"/>
        </w:rPr>
        <w:t>Table 5: Country of Origin of callers who contacted CISs most by age cohort (excluding Ireland)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11918" w:rsidRPr="00726B8C" w14:paraId="67BD3C3C" w14:textId="77777777" w:rsidTr="00255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DF55CD6" w14:textId="77777777" w:rsidR="00711918" w:rsidRPr="00726B8C" w:rsidRDefault="00711918" w:rsidP="002551DE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58F7575B" w14:textId="77777777" w:rsidR="00711918" w:rsidRPr="00A73D5B" w:rsidRDefault="00711918" w:rsidP="00A73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3D5B">
              <w:rPr>
                <w:rFonts w:ascii="Calibri" w:hAnsi="Calibri" w:cs="Calibri"/>
                <w:sz w:val="20"/>
                <w:szCs w:val="20"/>
              </w:rPr>
              <w:t>Under 25</w:t>
            </w:r>
          </w:p>
        </w:tc>
        <w:tc>
          <w:tcPr>
            <w:tcW w:w="1803" w:type="dxa"/>
          </w:tcPr>
          <w:p w14:paraId="23DF2131" w14:textId="77777777" w:rsidR="00711918" w:rsidRPr="00A73D5B" w:rsidRDefault="00711918" w:rsidP="00A73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3D5B">
              <w:rPr>
                <w:rFonts w:ascii="Calibri" w:hAnsi="Calibri" w:cs="Calibri"/>
                <w:sz w:val="20"/>
                <w:szCs w:val="20"/>
              </w:rPr>
              <w:t>26-45</w:t>
            </w:r>
          </w:p>
        </w:tc>
        <w:tc>
          <w:tcPr>
            <w:tcW w:w="1803" w:type="dxa"/>
          </w:tcPr>
          <w:p w14:paraId="42091431" w14:textId="095DA7F0" w:rsidR="00711918" w:rsidRPr="00A73D5B" w:rsidRDefault="00711918" w:rsidP="00A73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3D5B">
              <w:rPr>
                <w:rFonts w:ascii="Calibri" w:hAnsi="Calibri" w:cs="Calibri"/>
                <w:sz w:val="20"/>
                <w:szCs w:val="20"/>
              </w:rPr>
              <w:t>46-65</w:t>
            </w:r>
          </w:p>
        </w:tc>
        <w:tc>
          <w:tcPr>
            <w:tcW w:w="1804" w:type="dxa"/>
          </w:tcPr>
          <w:p w14:paraId="715868E6" w14:textId="6B676713" w:rsidR="00711918" w:rsidRPr="00A73D5B" w:rsidRDefault="00711918" w:rsidP="00A73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3D5B">
              <w:rPr>
                <w:rFonts w:ascii="Calibri" w:hAnsi="Calibri" w:cs="Calibri"/>
                <w:sz w:val="20"/>
                <w:szCs w:val="20"/>
              </w:rPr>
              <w:t xml:space="preserve">66 and </w:t>
            </w:r>
            <w:r w:rsidR="00860A5D" w:rsidRPr="00A73D5B">
              <w:rPr>
                <w:rFonts w:ascii="Calibri" w:hAnsi="Calibri" w:cs="Calibri"/>
                <w:sz w:val="20"/>
                <w:szCs w:val="20"/>
              </w:rPr>
              <w:t>over</w:t>
            </w:r>
          </w:p>
        </w:tc>
      </w:tr>
      <w:tr w:rsidR="00711918" w:rsidRPr="00726B8C" w14:paraId="30169AEF" w14:textId="77777777" w:rsidTr="0025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1BCAD3A" w14:textId="77777777" w:rsidR="00711918" w:rsidRPr="00726B8C" w:rsidRDefault="00711918" w:rsidP="002551DE">
            <w:pPr>
              <w:rPr>
                <w:rFonts w:ascii="Calibri" w:hAnsi="Calibri" w:cs="Calibri"/>
              </w:rPr>
            </w:pPr>
            <w:r w:rsidRPr="00726B8C">
              <w:rPr>
                <w:rFonts w:ascii="Calibri" w:hAnsi="Calibri" w:cs="Calibri"/>
              </w:rPr>
              <w:t>1</w:t>
            </w:r>
          </w:p>
        </w:tc>
        <w:tc>
          <w:tcPr>
            <w:tcW w:w="1803" w:type="dxa"/>
          </w:tcPr>
          <w:p w14:paraId="1E4E6556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Ukraine</w:t>
            </w:r>
          </w:p>
        </w:tc>
        <w:tc>
          <w:tcPr>
            <w:tcW w:w="1803" w:type="dxa"/>
          </w:tcPr>
          <w:p w14:paraId="409250DC" w14:textId="72BEE09E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Pola</w:t>
            </w:r>
            <w:r w:rsidR="00FC65D6" w:rsidRPr="00400A7D">
              <w:rPr>
                <w:rFonts w:ascii="Calibri" w:hAnsi="Calibri" w:cs="Calibri"/>
                <w:sz w:val="20"/>
                <w:szCs w:val="20"/>
              </w:rPr>
              <w:t>nd</w:t>
            </w:r>
          </w:p>
        </w:tc>
        <w:tc>
          <w:tcPr>
            <w:tcW w:w="1803" w:type="dxa"/>
          </w:tcPr>
          <w:p w14:paraId="4834DFBD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Poland</w:t>
            </w:r>
          </w:p>
        </w:tc>
        <w:tc>
          <w:tcPr>
            <w:tcW w:w="1804" w:type="dxa"/>
          </w:tcPr>
          <w:p w14:paraId="2F782B01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United Kingdom</w:t>
            </w:r>
          </w:p>
        </w:tc>
      </w:tr>
      <w:tr w:rsidR="00711918" w:rsidRPr="00726B8C" w14:paraId="7DC80B84" w14:textId="77777777" w:rsidTr="0025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E4286EE" w14:textId="77777777" w:rsidR="00711918" w:rsidRPr="00726B8C" w:rsidRDefault="00711918" w:rsidP="002551DE">
            <w:pPr>
              <w:rPr>
                <w:rFonts w:ascii="Calibri" w:hAnsi="Calibri" w:cs="Calibri"/>
              </w:rPr>
            </w:pPr>
            <w:r w:rsidRPr="00726B8C">
              <w:rPr>
                <w:rFonts w:ascii="Calibri" w:hAnsi="Calibri" w:cs="Calibri"/>
              </w:rPr>
              <w:t>2</w:t>
            </w:r>
          </w:p>
        </w:tc>
        <w:tc>
          <w:tcPr>
            <w:tcW w:w="1803" w:type="dxa"/>
          </w:tcPr>
          <w:p w14:paraId="093F5CF0" w14:textId="6059769B" w:rsidR="00711918" w:rsidRPr="00400A7D" w:rsidRDefault="00CF5D0D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Nigeria</w:t>
            </w:r>
          </w:p>
        </w:tc>
        <w:tc>
          <w:tcPr>
            <w:tcW w:w="1803" w:type="dxa"/>
          </w:tcPr>
          <w:p w14:paraId="5EDD1C0E" w14:textId="77777777" w:rsidR="00711918" w:rsidRPr="00400A7D" w:rsidRDefault="00711918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Ukraine</w:t>
            </w:r>
          </w:p>
        </w:tc>
        <w:tc>
          <w:tcPr>
            <w:tcW w:w="1803" w:type="dxa"/>
          </w:tcPr>
          <w:p w14:paraId="638A401E" w14:textId="6A78B235" w:rsidR="00711918" w:rsidRPr="00400A7D" w:rsidRDefault="007042FB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Ukraine</w:t>
            </w:r>
          </w:p>
        </w:tc>
        <w:tc>
          <w:tcPr>
            <w:tcW w:w="1804" w:type="dxa"/>
          </w:tcPr>
          <w:p w14:paraId="49CAA27A" w14:textId="77777777" w:rsidR="00711918" w:rsidRPr="00400A7D" w:rsidRDefault="00711918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Ukraine</w:t>
            </w:r>
          </w:p>
        </w:tc>
      </w:tr>
      <w:tr w:rsidR="00711918" w:rsidRPr="00726B8C" w14:paraId="265D4953" w14:textId="77777777" w:rsidTr="0025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E6EC80D" w14:textId="77777777" w:rsidR="00711918" w:rsidRPr="00726B8C" w:rsidRDefault="00711918" w:rsidP="002551DE">
            <w:pPr>
              <w:rPr>
                <w:rFonts w:ascii="Calibri" w:hAnsi="Calibri" w:cs="Calibri"/>
              </w:rPr>
            </w:pPr>
            <w:r w:rsidRPr="00726B8C">
              <w:rPr>
                <w:rFonts w:ascii="Calibri" w:hAnsi="Calibri" w:cs="Calibri"/>
              </w:rPr>
              <w:t>3</w:t>
            </w:r>
          </w:p>
        </w:tc>
        <w:tc>
          <w:tcPr>
            <w:tcW w:w="1803" w:type="dxa"/>
          </w:tcPr>
          <w:p w14:paraId="7AFD99B9" w14:textId="3DE03226" w:rsidR="00711918" w:rsidRPr="00400A7D" w:rsidRDefault="00CF5D0D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Poland</w:t>
            </w:r>
          </w:p>
        </w:tc>
        <w:tc>
          <w:tcPr>
            <w:tcW w:w="1803" w:type="dxa"/>
          </w:tcPr>
          <w:p w14:paraId="6DFF49E9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Nigeria</w:t>
            </w:r>
          </w:p>
        </w:tc>
        <w:tc>
          <w:tcPr>
            <w:tcW w:w="1803" w:type="dxa"/>
          </w:tcPr>
          <w:p w14:paraId="75C36BA6" w14:textId="108FF340" w:rsidR="00711918" w:rsidRPr="00400A7D" w:rsidRDefault="007042FB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Nigeria</w:t>
            </w:r>
          </w:p>
        </w:tc>
        <w:tc>
          <w:tcPr>
            <w:tcW w:w="1804" w:type="dxa"/>
          </w:tcPr>
          <w:p w14:paraId="6505B0D2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Poland</w:t>
            </w:r>
          </w:p>
        </w:tc>
      </w:tr>
      <w:tr w:rsidR="00711918" w:rsidRPr="00726B8C" w14:paraId="7F965C4B" w14:textId="77777777" w:rsidTr="0025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3D2B13E" w14:textId="77777777" w:rsidR="00711918" w:rsidRPr="00726B8C" w:rsidRDefault="00711918" w:rsidP="002551DE">
            <w:pPr>
              <w:rPr>
                <w:rFonts w:ascii="Calibri" w:hAnsi="Calibri" w:cs="Calibri"/>
              </w:rPr>
            </w:pPr>
            <w:r w:rsidRPr="00726B8C">
              <w:rPr>
                <w:rFonts w:ascii="Calibri" w:hAnsi="Calibri" w:cs="Calibri"/>
              </w:rPr>
              <w:t>4</w:t>
            </w:r>
          </w:p>
        </w:tc>
        <w:tc>
          <w:tcPr>
            <w:tcW w:w="1803" w:type="dxa"/>
          </w:tcPr>
          <w:p w14:paraId="24E68B4A" w14:textId="77777777" w:rsidR="00711918" w:rsidRPr="00400A7D" w:rsidRDefault="00711918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Afghanistan</w:t>
            </w:r>
          </w:p>
        </w:tc>
        <w:tc>
          <w:tcPr>
            <w:tcW w:w="1803" w:type="dxa"/>
          </w:tcPr>
          <w:p w14:paraId="3B7A61B6" w14:textId="569DF9E2" w:rsidR="00711918" w:rsidRPr="00400A7D" w:rsidRDefault="00FC65D6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Romania</w:t>
            </w:r>
          </w:p>
        </w:tc>
        <w:tc>
          <w:tcPr>
            <w:tcW w:w="1803" w:type="dxa"/>
          </w:tcPr>
          <w:p w14:paraId="61035610" w14:textId="77777777" w:rsidR="00711918" w:rsidRPr="00400A7D" w:rsidRDefault="00711918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United Kingdom</w:t>
            </w:r>
          </w:p>
        </w:tc>
        <w:tc>
          <w:tcPr>
            <w:tcW w:w="1804" w:type="dxa"/>
          </w:tcPr>
          <w:p w14:paraId="58098093" w14:textId="77777777" w:rsidR="00711918" w:rsidRPr="00400A7D" w:rsidRDefault="00711918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Lithuania</w:t>
            </w:r>
          </w:p>
        </w:tc>
      </w:tr>
      <w:tr w:rsidR="00711918" w:rsidRPr="00726B8C" w14:paraId="02615D1C" w14:textId="77777777" w:rsidTr="0025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65FA1BB" w14:textId="77777777" w:rsidR="00711918" w:rsidRPr="00726B8C" w:rsidRDefault="00711918" w:rsidP="002551DE">
            <w:pPr>
              <w:rPr>
                <w:rFonts w:ascii="Calibri" w:hAnsi="Calibri" w:cs="Calibri"/>
              </w:rPr>
            </w:pPr>
            <w:r w:rsidRPr="00726B8C">
              <w:rPr>
                <w:rFonts w:ascii="Calibri" w:hAnsi="Calibri" w:cs="Calibri"/>
              </w:rPr>
              <w:t>5</w:t>
            </w:r>
          </w:p>
        </w:tc>
        <w:tc>
          <w:tcPr>
            <w:tcW w:w="1803" w:type="dxa"/>
          </w:tcPr>
          <w:p w14:paraId="5DCC5FC5" w14:textId="5E42F46C" w:rsidR="00711918" w:rsidRPr="00400A7D" w:rsidRDefault="00CF5D0D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Romania</w:t>
            </w:r>
          </w:p>
        </w:tc>
        <w:tc>
          <w:tcPr>
            <w:tcW w:w="1803" w:type="dxa"/>
          </w:tcPr>
          <w:p w14:paraId="0482E46F" w14:textId="11828110" w:rsidR="00711918" w:rsidRPr="00400A7D" w:rsidRDefault="00FC65D6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Bangladesh</w:t>
            </w:r>
          </w:p>
        </w:tc>
        <w:tc>
          <w:tcPr>
            <w:tcW w:w="1803" w:type="dxa"/>
          </w:tcPr>
          <w:p w14:paraId="2C821DF6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Romania</w:t>
            </w:r>
          </w:p>
        </w:tc>
        <w:tc>
          <w:tcPr>
            <w:tcW w:w="1804" w:type="dxa"/>
          </w:tcPr>
          <w:p w14:paraId="16C44395" w14:textId="63BC6559" w:rsidR="00711918" w:rsidRPr="00400A7D" w:rsidRDefault="00E04CE2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USA</w:t>
            </w:r>
          </w:p>
        </w:tc>
      </w:tr>
    </w:tbl>
    <w:p w14:paraId="23F6FFFD" w14:textId="77777777" w:rsidR="00953170" w:rsidRPr="00726B8C" w:rsidRDefault="00953170" w:rsidP="00953170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</w:p>
    <w:p w14:paraId="6658C25B" w14:textId="772A3E72" w:rsidR="00953170" w:rsidRPr="00726B8C" w:rsidRDefault="00F76721" w:rsidP="00205F8F">
      <w:pPr>
        <w:pStyle w:val="Heading2"/>
      </w:pPr>
      <w:r>
        <w:t>Access Difficulties Identified</w:t>
      </w:r>
    </w:p>
    <w:p w14:paraId="1E4FAC41" w14:textId="77777777" w:rsidR="00982CCA" w:rsidRDefault="00953170" w:rsidP="00982CCA">
      <w:pPr>
        <w:jc w:val="both"/>
        <w:rPr>
          <w:rFonts w:eastAsia="Times New Roman"/>
          <w:b/>
          <w:lang w:eastAsia="en-IE"/>
        </w:rPr>
      </w:pPr>
      <w:r w:rsidRPr="00726B8C">
        <w:rPr>
          <w:rFonts w:eastAsiaTheme="majorEastAsia"/>
        </w:rPr>
        <w:t>In Q</w:t>
      </w:r>
      <w:r w:rsidR="009B17C7" w:rsidRPr="00726B8C">
        <w:rPr>
          <w:rFonts w:eastAsiaTheme="majorEastAsia"/>
        </w:rPr>
        <w:t>3</w:t>
      </w:r>
      <w:r w:rsidRPr="00726B8C">
        <w:rPr>
          <w:rFonts w:eastAsiaTheme="majorEastAsia"/>
        </w:rPr>
        <w:t xml:space="preserve"> 2024, </w:t>
      </w:r>
      <w:r w:rsidR="009B17C7" w:rsidRPr="00726B8C">
        <w:rPr>
          <w:rFonts w:eastAsiaTheme="majorEastAsia"/>
        </w:rPr>
        <w:t>15.0</w:t>
      </w:r>
      <w:r w:rsidRPr="00726B8C">
        <w:rPr>
          <w:rFonts w:eastAsiaTheme="majorEastAsia"/>
        </w:rPr>
        <w:t>%</w:t>
      </w:r>
      <w:r w:rsidR="00205F8F">
        <w:rPr>
          <w:rFonts w:eastAsiaTheme="majorEastAsia"/>
        </w:rPr>
        <w:t xml:space="preserve"> of callers</w:t>
      </w:r>
      <w:r w:rsidRPr="00726B8C">
        <w:rPr>
          <w:rFonts w:eastAsiaTheme="majorEastAsia"/>
        </w:rPr>
        <w:t xml:space="preserve"> (</w:t>
      </w:r>
      <w:r w:rsidR="00700169" w:rsidRPr="00726B8C">
        <w:rPr>
          <w:rFonts w:eastAsiaTheme="majorEastAsia"/>
        </w:rPr>
        <w:t>15,225</w:t>
      </w:r>
      <w:r w:rsidRPr="00726B8C">
        <w:rPr>
          <w:rFonts w:eastAsiaTheme="majorEastAsia"/>
        </w:rPr>
        <w:t xml:space="preserve"> </w:t>
      </w:r>
      <w:r w:rsidR="00205F8F">
        <w:rPr>
          <w:rFonts w:eastAsiaTheme="majorEastAsia"/>
        </w:rPr>
        <w:t>people</w:t>
      </w:r>
      <w:r w:rsidRPr="00726B8C">
        <w:rPr>
          <w:rFonts w:eastAsiaTheme="majorEastAsia"/>
        </w:rPr>
        <w:t xml:space="preserve">) were identified by information providers as having particular needs or encountering barriers to accessing services, including language, literacy, and online access issues. </w:t>
      </w:r>
      <w:r w:rsidR="00205F8F">
        <w:rPr>
          <w:rFonts w:eastAsiaTheme="majorEastAsia"/>
        </w:rPr>
        <w:t>This represents</w:t>
      </w:r>
      <w:r w:rsidR="00A43643" w:rsidRPr="00726B8C">
        <w:rPr>
          <w:rFonts w:eastAsiaTheme="majorEastAsia"/>
        </w:rPr>
        <w:t xml:space="preserve"> a 2.</w:t>
      </w:r>
      <w:r w:rsidR="004E0C5B" w:rsidRPr="00726B8C">
        <w:rPr>
          <w:rFonts w:eastAsiaTheme="majorEastAsia"/>
        </w:rPr>
        <w:t xml:space="preserve">1% increase </w:t>
      </w:r>
      <w:r w:rsidR="00205F8F">
        <w:rPr>
          <w:rFonts w:eastAsiaTheme="majorEastAsia"/>
        </w:rPr>
        <w:t xml:space="preserve">in </w:t>
      </w:r>
      <w:r w:rsidR="004E0C5B" w:rsidRPr="00726B8C">
        <w:rPr>
          <w:rFonts w:eastAsiaTheme="majorEastAsia"/>
        </w:rPr>
        <w:t xml:space="preserve">callers </w:t>
      </w:r>
      <w:r w:rsidR="001D3F80">
        <w:rPr>
          <w:rFonts w:eastAsiaTheme="majorEastAsia"/>
        </w:rPr>
        <w:t>identified as having</w:t>
      </w:r>
      <w:r w:rsidR="001D3F80" w:rsidRPr="00726B8C">
        <w:rPr>
          <w:rFonts w:eastAsiaTheme="majorEastAsia"/>
        </w:rPr>
        <w:t xml:space="preserve"> </w:t>
      </w:r>
      <w:r w:rsidR="004E0C5B" w:rsidRPr="00726B8C">
        <w:rPr>
          <w:rFonts w:eastAsiaTheme="majorEastAsia"/>
        </w:rPr>
        <w:t>specific needs.</w:t>
      </w:r>
      <w:bookmarkStart w:id="0" w:name="_Hlk181874234"/>
    </w:p>
    <w:p w14:paraId="318EBB9F" w14:textId="02D0C62F" w:rsidR="007B6918" w:rsidRPr="00982CCA" w:rsidRDefault="00197D7A" w:rsidP="00C92219">
      <w:pPr>
        <w:pStyle w:val="Heading3"/>
      </w:pPr>
      <w:r w:rsidRPr="00982CCA">
        <w:rPr>
          <w:rFonts w:eastAsia="Times New Roman"/>
          <w:lang w:eastAsia="en-IE"/>
        </w:rPr>
        <w:t>Table 6: Specific Needs Comparison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2254"/>
        <w:gridCol w:w="2254"/>
      </w:tblGrid>
      <w:tr w:rsidR="00295608" w14:paraId="14D5B43C" w14:textId="77777777" w:rsidTr="00816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6AEB3F4" w14:textId="6D7664FB" w:rsidR="00295608" w:rsidRDefault="00DF45CD" w:rsidP="00953170">
            <w:r>
              <w:t>Specific Needs</w:t>
            </w:r>
          </w:p>
        </w:tc>
        <w:tc>
          <w:tcPr>
            <w:tcW w:w="1111" w:type="dxa"/>
          </w:tcPr>
          <w:p w14:paraId="273AA089" w14:textId="48F262D1" w:rsidR="00295608" w:rsidRDefault="00DF45CD" w:rsidP="006E6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 2023</w:t>
            </w:r>
          </w:p>
        </w:tc>
        <w:tc>
          <w:tcPr>
            <w:tcW w:w="2254" w:type="dxa"/>
          </w:tcPr>
          <w:p w14:paraId="0F2D7C38" w14:textId="4370797F" w:rsidR="00295608" w:rsidRDefault="00DF45CD" w:rsidP="006E6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 2024</w:t>
            </w:r>
          </w:p>
        </w:tc>
        <w:tc>
          <w:tcPr>
            <w:tcW w:w="2254" w:type="dxa"/>
          </w:tcPr>
          <w:p w14:paraId="5F0318A7" w14:textId="6C3542E3" w:rsidR="00295608" w:rsidRPr="00A157B0" w:rsidRDefault="00DF45CD" w:rsidP="006E6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57B0">
              <w:t>% Change</w:t>
            </w:r>
          </w:p>
        </w:tc>
      </w:tr>
      <w:tr w:rsidR="00295608" w14:paraId="514250BD" w14:textId="77777777" w:rsidTr="0081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570150C" w14:textId="3976C755" w:rsidR="00295608" w:rsidRPr="005E5E7F" w:rsidRDefault="006E63DF" w:rsidP="00953170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5E5E7F">
              <w:rPr>
                <w:rFonts w:ascii="Calibri" w:hAnsi="Calibri" w:cs="Calibri"/>
                <w:b w:val="0"/>
                <w:bCs w:val="0"/>
                <w:color w:val="000000"/>
              </w:rPr>
              <w:t>Language</w:t>
            </w:r>
          </w:p>
        </w:tc>
        <w:tc>
          <w:tcPr>
            <w:tcW w:w="1111" w:type="dxa"/>
          </w:tcPr>
          <w:p w14:paraId="17E4507E" w14:textId="2172910A" w:rsidR="00295608" w:rsidRPr="005E5E7F" w:rsidRDefault="006E63DF" w:rsidP="006E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E5E7F">
              <w:rPr>
                <w:rFonts w:ascii="Calibri" w:hAnsi="Calibri" w:cs="Calibri"/>
                <w:color w:val="000000"/>
              </w:rPr>
              <w:t>6,013</w:t>
            </w:r>
          </w:p>
        </w:tc>
        <w:tc>
          <w:tcPr>
            <w:tcW w:w="2254" w:type="dxa"/>
          </w:tcPr>
          <w:p w14:paraId="2CF0B12A" w14:textId="07984DBA" w:rsidR="00295608" w:rsidRPr="005E5E7F" w:rsidRDefault="006E63DF" w:rsidP="006E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E5E7F">
              <w:rPr>
                <w:rFonts w:ascii="Calibri" w:hAnsi="Calibri" w:cs="Calibri"/>
                <w:color w:val="000000"/>
              </w:rPr>
              <w:t>6,312</w:t>
            </w:r>
          </w:p>
        </w:tc>
        <w:tc>
          <w:tcPr>
            <w:tcW w:w="2254" w:type="dxa"/>
          </w:tcPr>
          <w:p w14:paraId="28C9655C" w14:textId="4D9B0F0F" w:rsidR="00295608" w:rsidRPr="00A157B0" w:rsidRDefault="006E63DF" w:rsidP="006E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157B0">
              <w:rPr>
                <w:rFonts w:ascii="Calibri" w:hAnsi="Calibri" w:cs="Calibri"/>
              </w:rPr>
              <w:t>+</w:t>
            </w:r>
            <w:r w:rsidR="00B25358" w:rsidRPr="00A157B0">
              <w:rPr>
                <w:rFonts w:ascii="Calibri" w:hAnsi="Calibri" w:cs="Calibri"/>
              </w:rPr>
              <w:t>4.97</w:t>
            </w:r>
            <w:r w:rsidR="00A157B0">
              <w:rPr>
                <w:rFonts w:ascii="Calibri" w:hAnsi="Calibri" w:cs="Calibri"/>
              </w:rPr>
              <w:t>%</w:t>
            </w:r>
          </w:p>
        </w:tc>
      </w:tr>
      <w:tr w:rsidR="005E5E7F" w14:paraId="27F5B636" w14:textId="77777777" w:rsidTr="0081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8204616" w14:textId="47DB35A1" w:rsidR="005E5E7F" w:rsidRPr="005E5E7F" w:rsidRDefault="005E5E7F" w:rsidP="005E5E7F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5E5E7F">
              <w:rPr>
                <w:rFonts w:ascii="Calibri" w:hAnsi="Calibri" w:cs="Calibri"/>
                <w:b w:val="0"/>
                <w:bCs w:val="0"/>
                <w:color w:val="000000"/>
              </w:rPr>
              <w:t>Distressed Client</w:t>
            </w:r>
          </w:p>
        </w:tc>
        <w:tc>
          <w:tcPr>
            <w:tcW w:w="1111" w:type="dxa"/>
            <w:vAlign w:val="center"/>
          </w:tcPr>
          <w:p w14:paraId="092DBB9F" w14:textId="3FA53FE6" w:rsidR="005E5E7F" w:rsidRPr="005E5E7F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E5E7F">
              <w:rPr>
                <w:rFonts w:ascii="Calibri" w:hAnsi="Calibri" w:cs="Calibri"/>
                <w:color w:val="000000"/>
              </w:rPr>
              <w:t>3,218</w:t>
            </w:r>
          </w:p>
        </w:tc>
        <w:tc>
          <w:tcPr>
            <w:tcW w:w="2254" w:type="dxa"/>
            <w:vAlign w:val="center"/>
          </w:tcPr>
          <w:p w14:paraId="3A837F87" w14:textId="41912F4C" w:rsidR="005E5E7F" w:rsidRPr="005E5E7F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E5E7F">
              <w:rPr>
                <w:rFonts w:ascii="Calibri" w:hAnsi="Calibri" w:cs="Calibri"/>
                <w:color w:val="000000"/>
              </w:rPr>
              <w:t>3,194</w:t>
            </w:r>
          </w:p>
        </w:tc>
        <w:tc>
          <w:tcPr>
            <w:tcW w:w="2254" w:type="dxa"/>
            <w:vAlign w:val="center"/>
          </w:tcPr>
          <w:p w14:paraId="61C043CB" w14:textId="79D06127" w:rsidR="005E5E7F" w:rsidRPr="00A157B0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157B0">
              <w:rPr>
                <w:rFonts w:ascii="Calibri" w:hAnsi="Calibri" w:cs="Calibri"/>
              </w:rPr>
              <w:t>-0.75%</w:t>
            </w:r>
          </w:p>
        </w:tc>
      </w:tr>
      <w:tr w:rsidR="005E5E7F" w14:paraId="774D75F2" w14:textId="77777777" w:rsidTr="0081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85C0BF0" w14:textId="6B2BF32F" w:rsidR="005E5E7F" w:rsidRDefault="005E5E7F" w:rsidP="005E5E7F">
            <w:r>
              <w:rPr>
                <w:rFonts w:ascii="Calibri" w:hAnsi="Calibri" w:cs="Calibri"/>
                <w:b w:val="0"/>
                <w:bCs w:val="0"/>
                <w:color w:val="000000"/>
              </w:rPr>
              <w:t>Literacy</w:t>
            </w:r>
          </w:p>
        </w:tc>
        <w:tc>
          <w:tcPr>
            <w:tcW w:w="1111" w:type="dxa"/>
            <w:vAlign w:val="center"/>
          </w:tcPr>
          <w:p w14:paraId="1E42B342" w14:textId="101D4DDC" w:rsidR="005E5E7F" w:rsidRDefault="005E5E7F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1,971</w:t>
            </w:r>
          </w:p>
        </w:tc>
        <w:tc>
          <w:tcPr>
            <w:tcW w:w="2254" w:type="dxa"/>
            <w:vAlign w:val="center"/>
          </w:tcPr>
          <w:p w14:paraId="7FE39FDF" w14:textId="4F40A718" w:rsidR="005E5E7F" w:rsidRDefault="005E5E7F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2,114</w:t>
            </w:r>
          </w:p>
        </w:tc>
        <w:tc>
          <w:tcPr>
            <w:tcW w:w="2254" w:type="dxa"/>
            <w:vAlign w:val="center"/>
          </w:tcPr>
          <w:p w14:paraId="5A79375B" w14:textId="6229AB56" w:rsidR="005E5E7F" w:rsidRPr="00A157B0" w:rsidRDefault="00A157B0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+</w:t>
            </w:r>
            <w:r w:rsidR="005E5E7F" w:rsidRPr="00A157B0">
              <w:rPr>
                <w:rFonts w:ascii="Calibri" w:hAnsi="Calibri" w:cs="Calibri"/>
              </w:rPr>
              <w:t>7.26%</w:t>
            </w:r>
          </w:p>
        </w:tc>
      </w:tr>
      <w:tr w:rsidR="005E5E7F" w14:paraId="2C5B5B34" w14:textId="77777777" w:rsidTr="0081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1B2C796" w14:textId="70F5D305" w:rsidR="005E5E7F" w:rsidRDefault="005E5E7F" w:rsidP="005E5E7F">
            <w:r>
              <w:rPr>
                <w:rFonts w:ascii="Calibri" w:hAnsi="Calibri" w:cs="Calibri"/>
                <w:b w:val="0"/>
                <w:bCs w:val="0"/>
                <w:color w:val="000000"/>
              </w:rPr>
              <w:t>Digital Literacy</w:t>
            </w:r>
          </w:p>
        </w:tc>
        <w:tc>
          <w:tcPr>
            <w:tcW w:w="1111" w:type="dxa"/>
            <w:vAlign w:val="center"/>
          </w:tcPr>
          <w:p w14:paraId="729FBD4D" w14:textId="21AD68F8" w:rsidR="005E5E7F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1,592</w:t>
            </w:r>
          </w:p>
        </w:tc>
        <w:tc>
          <w:tcPr>
            <w:tcW w:w="2254" w:type="dxa"/>
            <w:vAlign w:val="center"/>
          </w:tcPr>
          <w:p w14:paraId="752E1DE4" w14:textId="14A0B934" w:rsidR="005E5E7F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1,904</w:t>
            </w:r>
          </w:p>
        </w:tc>
        <w:tc>
          <w:tcPr>
            <w:tcW w:w="2254" w:type="dxa"/>
            <w:vAlign w:val="center"/>
          </w:tcPr>
          <w:p w14:paraId="053DBBD4" w14:textId="739EF8C7" w:rsidR="005E5E7F" w:rsidRPr="00A157B0" w:rsidRDefault="00A157B0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+</w:t>
            </w:r>
            <w:r w:rsidR="005E5E7F" w:rsidRPr="00A157B0">
              <w:rPr>
                <w:rFonts w:ascii="Calibri" w:hAnsi="Calibri" w:cs="Calibri"/>
              </w:rPr>
              <w:t>19.60%</w:t>
            </w:r>
          </w:p>
        </w:tc>
      </w:tr>
      <w:tr w:rsidR="005E5E7F" w14:paraId="021C7000" w14:textId="77777777" w:rsidTr="0081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7C6B3A8" w14:textId="6031B5DC" w:rsidR="005E5E7F" w:rsidRDefault="005E5E7F" w:rsidP="005E5E7F">
            <w:r>
              <w:rPr>
                <w:rFonts w:ascii="Calibri" w:hAnsi="Calibri" w:cs="Calibri"/>
                <w:b w:val="0"/>
                <w:bCs w:val="0"/>
                <w:color w:val="000000"/>
              </w:rPr>
              <w:t>No online/ IT Access</w:t>
            </w:r>
          </w:p>
        </w:tc>
        <w:tc>
          <w:tcPr>
            <w:tcW w:w="1111" w:type="dxa"/>
            <w:vAlign w:val="center"/>
          </w:tcPr>
          <w:p w14:paraId="2CE6FEBC" w14:textId="6E1A9CA6" w:rsidR="005E5E7F" w:rsidRDefault="005E5E7F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1,405</w:t>
            </w:r>
          </w:p>
        </w:tc>
        <w:tc>
          <w:tcPr>
            <w:tcW w:w="2254" w:type="dxa"/>
            <w:vAlign w:val="center"/>
          </w:tcPr>
          <w:p w14:paraId="34C74FCF" w14:textId="0DF88372" w:rsidR="005E5E7F" w:rsidRDefault="005E5E7F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1,560</w:t>
            </w:r>
          </w:p>
        </w:tc>
        <w:tc>
          <w:tcPr>
            <w:tcW w:w="2254" w:type="dxa"/>
            <w:vAlign w:val="center"/>
          </w:tcPr>
          <w:p w14:paraId="5D4D860C" w14:textId="34BAD1C5" w:rsidR="005E5E7F" w:rsidRPr="00A157B0" w:rsidRDefault="00A157B0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+</w:t>
            </w:r>
            <w:r w:rsidR="005E5E7F" w:rsidRPr="00A157B0">
              <w:rPr>
                <w:rFonts w:ascii="Calibri" w:hAnsi="Calibri" w:cs="Calibri"/>
              </w:rPr>
              <w:t>11.03%</w:t>
            </w:r>
          </w:p>
        </w:tc>
      </w:tr>
      <w:tr w:rsidR="005E5E7F" w14:paraId="77B94EF1" w14:textId="77777777" w:rsidTr="0081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8016A39" w14:textId="0D728BEB" w:rsidR="005E5E7F" w:rsidRDefault="005E5E7F" w:rsidP="005E5E7F"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Physical  </w:t>
            </w:r>
          </w:p>
        </w:tc>
        <w:tc>
          <w:tcPr>
            <w:tcW w:w="1111" w:type="dxa"/>
            <w:vAlign w:val="center"/>
          </w:tcPr>
          <w:p w14:paraId="0954C55C" w14:textId="7E0E468F" w:rsidR="005E5E7F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157B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033</w:t>
            </w:r>
          </w:p>
        </w:tc>
        <w:tc>
          <w:tcPr>
            <w:tcW w:w="2254" w:type="dxa"/>
            <w:vAlign w:val="center"/>
          </w:tcPr>
          <w:p w14:paraId="14240AD4" w14:textId="6E9A2796" w:rsidR="005E5E7F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1,025</w:t>
            </w:r>
          </w:p>
        </w:tc>
        <w:tc>
          <w:tcPr>
            <w:tcW w:w="2254" w:type="dxa"/>
            <w:vAlign w:val="center"/>
          </w:tcPr>
          <w:p w14:paraId="45C02787" w14:textId="2AED906B" w:rsidR="005E5E7F" w:rsidRPr="00A157B0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7B0">
              <w:rPr>
                <w:rFonts w:ascii="Calibri" w:hAnsi="Calibri" w:cs="Calibri"/>
              </w:rPr>
              <w:t>-0.77%</w:t>
            </w:r>
          </w:p>
        </w:tc>
      </w:tr>
      <w:tr w:rsidR="005E5E7F" w14:paraId="67F8E9A0" w14:textId="77777777" w:rsidTr="0081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B1658C8" w14:textId="76CA1423" w:rsidR="005E5E7F" w:rsidRDefault="005E5E7F" w:rsidP="005E5E7F">
            <w:r>
              <w:rPr>
                <w:rFonts w:ascii="Calibri" w:hAnsi="Calibri" w:cs="Calibri"/>
                <w:b w:val="0"/>
                <w:bCs w:val="0"/>
                <w:color w:val="000000"/>
              </w:rPr>
              <w:t>Mental Health</w:t>
            </w:r>
          </w:p>
        </w:tc>
        <w:tc>
          <w:tcPr>
            <w:tcW w:w="1111" w:type="dxa"/>
            <w:vAlign w:val="center"/>
          </w:tcPr>
          <w:p w14:paraId="4358B36B" w14:textId="4173768E" w:rsidR="005E5E7F" w:rsidRDefault="005E5E7F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932</w:t>
            </w:r>
          </w:p>
        </w:tc>
        <w:tc>
          <w:tcPr>
            <w:tcW w:w="2254" w:type="dxa"/>
            <w:vAlign w:val="center"/>
          </w:tcPr>
          <w:p w14:paraId="3CE7E3A4" w14:textId="0597F889" w:rsidR="005E5E7F" w:rsidRDefault="005E5E7F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986</w:t>
            </w:r>
          </w:p>
        </w:tc>
        <w:tc>
          <w:tcPr>
            <w:tcW w:w="2254" w:type="dxa"/>
            <w:vAlign w:val="center"/>
          </w:tcPr>
          <w:p w14:paraId="2714E744" w14:textId="04B5CD8B" w:rsidR="005E5E7F" w:rsidRPr="00A157B0" w:rsidRDefault="00A157B0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-</w:t>
            </w:r>
            <w:r w:rsidR="005E5E7F" w:rsidRPr="00A157B0">
              <w:rPr>
                <w:rFonts w:ascii="Calibri" w:hAnsi="Calibri" w:cs="Calibri"/>
              </w:rPr>
              <w:t>5.79%</w:t>
            </w:r>
          </w:p>
        </w:tc>
      </w:tr>
      <w:tr w:rsidR="00295608" w14:paraId="2B1FCC91" w14:textId="77777777" w:rsidTr="0081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3279BBB" w14:textId="57DB2072" w:rsidR="00295608" w:rsidRPr="00586C6E" w:rsidRDefault="00586C6E" w:rsidP="00953170">
            <w:pPr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586C6E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Accompanied/support</w:t>
            </w:r>
            <w:r w:rsidR="0073118F" w:rsidRPr="00586C6E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ed by family member/ friend/representative</w:t>
            </w:r>
          </w:p>
        </w:tc>
        <w:tc>
          <w:tcPr>
            <w:tcW w:w="1111" w:type="dxa"/>
          </w:tcPr>
          <w:p w14:paraId="318E3165" w14:textId="27D42BF0" w:rsidR="00295608" w:rsidRPr="006179A7" w:rsidRDefault="00B25358" w:rsidP="006E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179A7"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2254" w:type="dxa"/>
          </w:tcPr>
          <w:p w14:paraId="3709CF13" w14:textId="54CCED70" w:rsidR="00295608" w:rsidRPr="006179A7" w:rsidRDefault="00B25358" w:rsidP="006E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179A7">
              <w:rPr>
                <w:rFonts w:ascii="Calibri" w:hAnsi="Calibri" w:cs="Calibri"/>
                <w:color w:val="000000"/>
              </w:rPr>
              <w:t>958</w:t>
            </w:r>
          </w:p>
        </w:tc>
        <w:tc>
          <w:tcPr>
            <w:tcW w:w="2254" w:type="dxa"/>
          </w:tcPr>
          <w:p w14:paraId="0E59EE83" w14:textId="509D89D1" w:rsidR="00295608" w:rsidRPr="00A157B0" w:rsidRDefault="006179A7" w:rsidP="006E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157B0">
              <w:rPr>
                <w:rFonts w:ascii="Calibri" w:hAnsi="Calibri" w:cs="Calibri"/>
              </w:rPr>
              <w:t>+0.10</w:t>
            </w:r>
            <w:r w:rsidR="00A157B0">
              <w:rPr>
                <w:rFonts w:ascii="Calibri" w:hAnsi="Calibri" w:cs="Calibri"/>
              </w:rPr>
              <w:t>%</w:t>
            </w:r>
          </w:p>
        </w:tc>
      </w:tr>
      <w:tr w:rsidR="00247401" w14:paraId="0FBD13C4" w14:textId="77777777" w:rsidTr="0081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F79A42" w14:textId="3E72784B" w:rsidR="00247401" w:rsidRPr="0073118F" w:rsidRDefault="00247401" w:rsidP="00247401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Other </w:t>
            </w:r>
          </w:p>
        </w:tc>
        <w:tc>
          <w:tcPr>
            <w:tcW w:w="1111" w:type="dxa"/>
            <w:vAlign w:val="center"/>
          </w:tcPr>
          <w:p w14:paraId="1EE5D009" w14:textId="13055316" w:rsidR="00247401" w:rsidRPr="006179A7" w:rsidRDefault="00247401" w:rsidP="00247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2254" w:type="dxa"/>
            <w:vAlign w:val="center"/>
          </w:tcPr>
          <w:p w14:paraId="716ABF0F" w14:textId="4E512ABD" w:rsidR="00247401" w:rsidRPr="006179A7" w:rsidRDefault="00247401" w:rsidP="00247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2254" w:type="dxa"/>
            <w:vAlign w:val="center"/>
          </w:tcPr>
          <w:p w14:paraId="2730A1D4" w14:textId="29E52F75" w:rsidR="00247401" w:rsidRPr="00A157B0" w:rsidRDefault="00247401" w:rsidP="00247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157B0">
              <w:rPr>
                <w:rFonts w:ascii="Calibri" w:hAnsi="Calibri" w:cs="Calibri"/>
              </w:rPr>
              <w:t>+2.94%</w:t>
            </w:r>
          </w:p>
        </w:tc>
      </w:tr>
      <w:tr w:rsidR="00247401" w14:paraId="4E9958DB" w14:textId="77777777" w:rsidTr="0081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3AC0032" w14:textId="53613121" w:rsidR="00247401" w:rsidRPr="0073118F" w:rsidRDefault="00247401" w:rsidP="00247401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Homeless</w:t>
            </w:r>
          </w:p>
        </w:tc>
        <w:tc>
          <w:tcPr>
            <w:tcW w:w="1111" w:type="dxa"/>
            <w:vAlign w:val="center"/>
          </w:tcPr>
          <w:p w14:paraId="58906EA1" w14:textId="5627ECDC" w:rsidR="00247401" w:rsidRPr="006179A7" w:rsidRDefault="00247401" w:rsidP="00247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2254" w:type="dxa"/>
            <w:vAlign w:val="center"/>
          </w:tcPr>
          <w:p w14:paraId="37F108FB" w14:textId="54B69780" w:rsidR="00247401" w:rsidRPr="006179A7" w:rsidRDefault="00247401" w:rsidP="00247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2254" w:type="dxa"/>
            <w:vAlign w:val="center"/>
          </w:tcPr>
          <w:p w14:paraId="34F24DA4" w14:textId="01B8CEE1" w:rsidR="00247401" w:rsidRPr="00A157B0" w:rsidRDefault="00247401" w:rsidP="00247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157B0">
              <w:rPr>
                <w:rFonts w:ascii="Calibri" w:hAnsi="Calibri" w:cs="Calibri"/>
              </w:rPr>
              <w:t>+35.98%</w:t>
            </w:r>
          </w:p>
        </w:tc>
      </w:tr>
      <w:bookmarkEnd w:id="0"/>
    </w:tbl>
    <w:p w14:paraId="19550EFD" w14:textId="77777777" w:rsidR="00C92219" w:rsidRDefault="00C92219" w:rsidP="00982CCA">
      <w:pPr>
        <w:pStyle w:val="Heading2"/>
      </w:pPr>
    </w:p>
    <w:p w14:paraId="1FD99AED" w14:textId="77777777" w:rsidR="00C92219" w:rsidRDefault="00C92219">
      <w:pPr>
        <w:rPr>
          <w:rFonts w:asciiTheme="majorHAnsi" w:eastAsiaTheme="majorEastAsia" w:hAnsiTheme="majorHAnsi"/>
          <w:color w:val="2683C6" w:themeColor="accent2"/>
          <w:sz w:val="28"/>
          <w:szCs w:val="28"/>
        </w:rPr>
      </w:pPr>
      <w:r>
        <w:br w:type="page"/>
      </w:r>
    </w:p>
    <w:p w14:paraId="7DC420AA" w14:textId="135FE49D" w:rsidR="00816688" w:rsidRDefault="00982CCA" w:rsidP="00982CCA">
      <w:pPr>
        <w:pStyle w:val="Heading2"/>
      </w:pPr>
      <w:r>
        <w:lastRenderedPageBreak/>
        <w:t xml:space="preserve">Duration of Interactions with </w:t>
      </w:r>
      <w:r w:rsidR="00F602E3">
        <w:t>Information Staff</w:t>
      </w:r>
    </w:p>
    <w:p w14:paraId="629F86FE" w14:textId="1C217B56" w:rsidR="0085365E" w:rsidRDefault="00D22805" w:rsidP="00682913">
      <w:pPr>
        <w:jc w:val="both"/>
        <w:rPr>
          <w:sz w:val="22"/>
          <w:szCs w:val="22"/>
        </w:rPr>
      </w:pPr>
      <w:r>
        <w:rPr>
          <w:sz w:val="22"/>
          <w:szCs w:val="22"/>
        </w:rPr>
        <w:t>Over forty percent of people</w:t>
      </w:r>
      <w:r w:rsidR="00607CE2" w:rsidRPr="00726B8C">
        <w:rPr>
          <w:sz w:val="22"/>
          <w:szCs w:val="22"/>
        </w:rPr>
        <w:t xml:space="preserve"> </w:t>
      </w:r>
      <w:r w:rsidR="0085365E" w:rsidRPr="00726B8C">
        <w:rPr>
          <w:sz w:val="22"/>
          <w:szCs w:val="22"/>
        </w:rPr>
        <w:t>(41.6%)</w:t>
      </w:r>
      <w:r w:rsidR="0085365E">
        <w:rPr>
          <w:sz w:val="22"/>
          <w:szCs w:val="22"/>
        </w:rPr>
        <w:t xml:space="preserve"> </w:t>
      </w:r>
      <w:r w:rsidR="0076530D">
        <w:rPr>
          <w:sz w:val="22"/>
          <w:szCs w:val="22"/>
        </w:rPr>
        <w:t xml:space="preserve">who contacted </w:t>
      </w:r>
      <w:r w:rsidR="00607CE2" w:rsidRPr="00726B8C">
        <w:rPr>
          <w:sz w:val="22"/>
          <w:szCs w:val="22"/>
        </w:rPr>
        <w:t xml:space="preserve">CISs </w:t>
      </w:r>
      <w:r w:rsidR="0076530D">
        <w:rPr>
          <w:sz w:val="22"/>
          <w:szCs w:val="22"/>
        </w:rPr>
        <w:t xml:space="preserve">spent </w:t>
      </w:r>
      <w:r w:rsidR="00607CE2" w:rsidRPr="00726B8C">
        <w:rPr>
          <w:sz w:val="22"/>
          <w:szCs w:val="22"/>
        </w:rPr>
        <w:t xml:space="preserve">10 minutes and </w:t>
      </w:r>
      <w:r w:rsidR="00FB5501" w:rsidRPr="00726B8C">
        <w:rPr>
          <w:sz w:val="22"/>
          <w:szCs w:val="22"/>
        </w:rPr>
        <w:t xml:space="preserve">under </w:t>
      </w:r>
      <w:r w:rsidR="00FB5501">
        <w:rPr>
          <w:sz w:val="22"/>
          <w:szCs w:val="22"/>
        </w:rPr>
        <w:t>with</w:t>
      </w:r>
      <w:r w:rsidR="0085365E">
        <w:rPr>
          <w:sz w:val="22"/>
          <w:szCs w:val="22"/>
        </w:rPr>
        <w:t xml:space="preserve"> </w:t>
      </w:r>
      <w:r w:rsidR="00F602E3">
        <w:rPr>
          <w:sz w:val="22"/>
          <w:szCs w:val="22"/>
        </w:rPr>
        <w:t>information staff</w:t>
      </w:r>
      <w:r w:rsidR="00607CE2" w:rsidRPr="00726B8C">
        <w:rPr>
          <w:sz w:val="22"/>
          <w:szCs w:val="22"/>
        </w:rPr>
        <w:t>.</w:t>
      </w:r>
      <w:r w:rsidR="00B85DEA" w:rsidRPr="00726B8C">
        <w:rPr>
          <w:sz w:val="22"/>
          <w:szCs w:val="22"/>
        </w:rPr>
        <w:t xml:space="preserve"> </w:t>
      </w:r>
      <w:r w:rsidR="0085365E">
        <w:rPr>
          <w:sz w:val="22"/>
          <w:szCs w:val="22"/>
        </w:rPr>
        <w:t xml:space="preserve">This compares with </w:t>
      </w:r>
      <w:r w:rsidR="00B85DEA" w:rsidRPr="00726B8C">
        <w:rPr>
          <w:sz w:val="22"/>
          <w:szCs w:val="22"/>
        </w:rPr>
        <w:t xml:space="preserve">38.7% of callers </w:t>
      </w:r>
      <w:r w:rsidR="0085365E">
        <w:rPr>
          <w:sz w:val="22"/>
          <w:szCs w:val="22"/>
        </w:rPr>
        <w:t>who spent</w:t>
      </w:r>
      <w:r w:rsidR="0085365E" w:rsidRPr="00726B8C">
        <w:rPr>
          <w:sz w:val="22"/>
          <w:szCs w:val="22"/>
        </w:rPr>
        <w:t xml:space="preserve"> </w:t>
      </w:r>
      <w:r w:rsidR="009B003B" w:rsidRPr="00726B8C">
        <w:rPr>
          <w:sz w:val="22"/>
          <w:szCs w:val="22"/>
        </w:rPr>
        <w:t>11-20 minutes</w:t>
      </w:r>
      <w:r w:rsidR="0085365E">
        <w:rPr>
          <w:sz w:val="22"/>
          <w:szCs w:val="22"/>
        </w:rPr>
        <w:t xml:space="preserve"> with </w:t>
      </w:r>
      <w:r w:rsidR="009A57DE">
        <w:rPr>
          <w:sz w:val="22"/>
          <w:szCs w:val="22"/>
        </w:rPr>
        <w:t>information staff,</w:t>
      </w:r>
      <w:r>
        <w:rPr>
          <w:sz w:val="22"/>
          <w:szCs w:val="22"/>
        </w:rPr>
        <w:t xml:space="preserve"> </w:t>
      </w:r>
      <w:r w:rsidR="009B003B" w:rsidRPr="00726B8C">
        <w:rPr>
          <w:sz w:val="22"/>
          <w:szCs w:val="22"/>
        </w:rPr>
        <w:t xml:space="preserve">16.4% </w:t>
      </w:r>
      <w:r w:rsidR="0085365E">
        <w:rPr>
          <w:sz w:val="22"/>
          <w:szCs w:val="22"/>
        </w:rPr>
        <w:t>spending</w:t>
      </w:r>
      <w:r w:rsidR="0085365E" w:rsidRPr="00726B8C">
        <w:rPr>
          <w:sz w:val="22"/>
          <w:szCs w:val="22"/>
        </w:rPr>
        <w:t xml:space="preserve"> </w:t>
      </w:r>
      <w:r w:rsidR="006A04AD" w:rsidRPr="00726B8C">
        <w:rPr>
          <w:sz w:val="22"/>
          <w:szCs w:val="22"/>
        </w:rPr>
        <w:t>21-40 minutes</w:t>
      </w:r>
      <w:r>
        <w:rPr>
          <w:sz w:val="22"/>
          <w:szCs w:val="22"/>
        </w:rPr>
        <w:t>, and 3.1% who spent</w:t>
      </w:r>
      <w:r w:rsidR="0085365E">
        <w:rPr>
          <w:sz w:val="22"/>
          <w:szCs w:val="22"/>
        </w:rPr>
        <w:t xml:space="preserve"> </w:t>
      </w:r>
      <w:r w:rsidR="00EA1DE1" w:rsidRPr="00726B8C">
        <w:rPr>
          <w:sz w:val="22"/>
          <w:szCs w:val="22"/>
        </w:rPr>
        <w:t>41</w:t>
      </w:r>
      <w:r w:rsidR="0085365E">
        <w:rPr>
          <w:sz w:val="22"/>
          <w:szCs w:val="22"/>
        </w:rPr>
        <w:t>-90 minutes</w:t>
      </w:r>
      <w:r w:rsidR="00586C6E">
        <w:rPr>
          <w:sz w:val="22"/>
          <w:szCs w:val="22"/>
        </w:rPr>
        <w:t xml:space="preserve"> -</w:t>
      </w:r>
      <w:r w:rsidR="0085365E">
        <w:rPr>
          <w:sz w:val="22"/>
          <w:szCs w:val="22"/>
        </w:rPr>
        <w:t xml:space="preserve"> or</w:t>
      </w:r>
      <w:r w:rsidR="00EA1DE1" w:rsidRPr="00726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="00407A25">
        <w:rPr>
          <w:sz w:val="22"/>
          <w:szCs w:val="22"/>
        </w:rPr>
        <w:t>a small number of</w:t>
      </w:r>
      <w:r>
        <w:rPr>
          <w:sz w:val="22"/>
          <w:szCs w:val="22"/>
        </w:rPr>
        <w:t xml:space="preserve"> cases </w:t>
      </w:r>
      <w:r w:rsidR="00EA1DE1" w:rsidRPr="00726B8C">
        <w:rPr>
          <w:sz w:val="22"/>
          <w:szCs w:val="22"/>
        </w:rPr>
        <w:t xml:space="preserve">over </w:t>
      </w:r>
      <w:r w:rsidR="0085365E" w:rsidRPr="00726B8C">
        <w:rPr>
          <w:sz w:val="22"/>
          <w:szCs w:val="22"/>
        </w:rPr>
        <w:t>9</w:t>
      </w:r>
      <w:r w:rsidR="0085365E">
        <w:rPr>
          <w:sz w:val="22"/>
          <w:szCs w:val="22"/>
        </w:rPr>
        <w:t>0</w:t>
      </w:r>
      <w:r w:rsidR="0085365E" w:rsidRPr="00726B8C">
        <w:rPr>
          <w:sz w:val="22"/>
          <w:szCs w:val="22"/>
        </w:rPr>
        <w:t xml:space="preserve"> </w:t>
      </w:r>
      <w:r w:rsidR="00EA1DE1" w:rsidRPr="00726B8C">
        <w:rPr>
          <w:sz w:val="22"/>
          <w:szCs w:val="22"/>
        </w:rPr>
        <w:t>minutes</w:t>
      </w:r>
      <w:r w:rsidR="00586C6E">
        <w:rPr>
          <w:sz w:val="22"/>
          <w:szCs w:val="22"/>
        </w:rPr>
        <w:t xml:space="preserve"> -</w:t>
      </w:r>
      <w:r w:rsidR="0085365E">
        <w:rPr>
          <w:sz w:val="22"/>
          <w:szCs w:val="22"/>
        </w:rPr>
        <w:t xml:space="preserve"> with </w:t>
      </w:r>
      <w:r w:rsidR="009A57DE">
        <w:rPr>
          <w:sz w:val="22"/>
          <w:szCs w:val="22"/>
        </w:rPr>
        <w:t>information staff.</w:t>
      </w:r>
      <w:r w:rsidR="0085365E">
        <w:rPr>
          <w:sz w:val="22"/>
          <w:szCs w:val="22"/>
        </w:rPr>
        <w:t xml:space="preserve"> </w:t>
      </w:r>
    </w:p>
    <w:p w14:paraId="5F2B69F5" w14:textId="2F8B504A" w:rsidR="006A2FF0" w:rsidRDefault="006A2FF0" w:rsidP="007B6918">
      <w:pPr>
        <w:pStyle w:val="Heading1"/>
        <w:jc w:val="both"/>
        <w:rPr>
          <w:rFonts w:eastAsia="Times New Roman"/>
          <w:b/>
          <w:sz w:val="24"/>
          <w:szCs w:val="24"/>
          <w:lang w:eastAsia="en-IE"/>
        </w:rPr>
      </w:pPr>
      <w:r w:rsidRPr="007B6918">
        <w:rPr>
          <w:rFonts w:eastAsia="Times New Roman"/>
          <w:b/>
          <w:sz w:val="24"/>
          <w:szCs w:val="24"/>
          <w:lang w:eastAsia="en-IE"/>
        </w:rPr>
        <w:t xml:space="preserve">Chart 1: Time </w:t>
      </w:r>
      <w:r w:rsidR="00407A25">
        <w:rPr>
          <w:rFonts w:eastAsia="Times New Roman"/>
          <w:b/>
          <w:sz w:val="24"/>
          <w:szCs w:val="24"/>
          <w:lang w:eastAsia="en-IE"/>
        </w:rPr>
        <w:t>s</w:t>
      </w:r>
      <w:r w:rsidRPr="007B6918">
        <w:rPr>
          <w:rFonts w:eastAsia="Times New Roman"/>
          <w:b/>
          <w:sz w:val="24"/>
          <w:szCs w:val="24"/>
          <w:lang w:eastAsia="en-IE"/>
        </w:rPr>
        <w:t xml:space="preserve">pent with </w:t>
      </w:r>
      <w:r w:rsidR="00586C6E">
        <w:rPr>
          <w:rFonts w:eastAsia="Times New Roman"/>
          <w:b/>
          <w:sz w:val="24"/>
          <w:szCs w:val="24"/>
          <w:lang w:eastAsia="en-IE"/>
        </w:rPr>
        <w:t>information staff</w:t>
      </w:r>
    </w:p>
    <w:p w14:paraId="18F19786" w14:textId="5FFDF0F4" w:rsidR="00B73680" w:rsidRDefault="00FB1171" w:rsidP="00247401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6EA22DA1" wp14:editId="37748EB2">
            <wp:extent cx="4511040" cy="2354580"/>
            <wp:effectExtent l="0" t="0" r="3810" b="7620"/>
            <wp:docPr id="5502102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2DE0532-3558-534E-721F-AEDDFAE1DE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7B6B0EB" w14:textId="0E93FF74" w:rsidR="00B73680" w:rsidRDefault="00214431" w:rsidP="008F19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Compared to the same period last year, </w:t>
      </w:r>
      <w:r w:rsidR="00407A25">
        <w:rPr>
          <w:sz w:val="22"/>
          <w:szCs w:val="22"/>
        </w:rPr>
        <w:t>the proportion of callers</w:t>
      </w:r>
      <w:r>
        <w:rPr>
          <w:sz w:val="22"/>
          <w:szCs w:val="22"/>
        </w:rPr>
        <w:t xml:space="preserve"> who interacted with </w:t>
      </w:r>
      <w:r w:rsidR="00982CCA">
        <w:rPr>
          <w:sz w:val="22"/>
          <w:szCs w:val="22"/>
        </w:rPr>
        <w:t xml:space="preserve">information </w:t>
      </w:r>
      <w:r w:rsidR="008F1900">
        <w:rPr>
          <w:sz w:val="22"/>
          <w:szCs w:val="22"/>
        </w:rPr>
        <w:t>staff</w:t>
      </w:r>
      <w:r>
        <w:rPr>
          <w:sz w:val="22"/>
          <w:szCs w:val="22"/>
        </w:rPr>
        <w:t xml:space="preserve"> for 10 minutes or less </w:t>
      </w:r>
      <w:r w:rsidR="00407A25">
        <w:rPr>
          <w:sz w:val="22"/>
          <w:szCs w:val="22"/>
        </w:rPr>
        <w:t>fell by</w:t>
      </w:r>
      <w:r>
        <w:rPr>
          <w:sz w:val="22"/>
          <w:szCs w:val="22"/>
        </w:rPr>
        <w:t xml:space="preserve"> 9.5%. </w:t>
      </w:r>
      <w:r w:rsidR="00407A25">
        <w:rPr>
          <w:sz w:val="22"/>
          <w:szCs w:val="22"/>
        </w:rPr>
        <w:t>Interactions of</w:t>
      </w:r>
      <w:r>
        <w:rPr>
          <w:sz w:val="22"/>
          <w:szCs w:val="22"/>
        </w:rPr>
        <w:t xml:space="preserve"> between 11-20 minutes were up 4% and those </w:t>
      </w:r>
      <w:r w:rsidR="00407A25">
        <w:rPr>
          <w:sz w:val="22"/>
          <w:szCs w:val="22"/>
        </w:rPr>
        <w:t>lasting</w:t>
      </w:r>
      <w:r>
        <w:rPr>
          <w:sz w:val="22"/>
          <w:szCs w:val="22"/>
        </w:rPr>
        <w:t xml:space="preserve"> 21-40 minutes</w:t>
      </w:r>
      <w:r w:rsidR="00407A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increased by 7.2%. </w:t>
      </w:r>
      <w:r w:rsidR="00407A25">
        <w:rPr>
          <w:sz w:val="22"/>
          <w:szCs w:val="22"/>
        </w:rPr>
        <w:t>Interactions lasting</w:t>
      </w:r>
      <w:r>
        <w:rPr>
          <w:sz w:val="22"/>
          <w:szCs w:val="22"/>
        </w:rPr>
        <w:t xml:space="preserve"> 41-90 minutes were up by 5.2% and </w:t>
      </w:r>
      <w:r w:rsidR="00407A25">
        <w:rPr>
          <w:sz w:val="22"/>
          <w:szCs w:val="22"/>
        </w:rPr>
        <w:t>those queries taking</w:t>
      </w:r>
      <w:r w:rsidR="002E554D">
        <w:rPr>
          <w:sz w:val="22"/>
          <w:szCs w:val="22"/>
        </w:rPr>
        <w:t xml:space="preserve"> 91 minutes and over </w:t>
      </w:r>
      <w:r w:rsidR="00407A25">
        <w:rPr>
          <w:sz w:val="22"/>
          <w:szCs w:val="22"/>
        </w:rPr>
        <w:t xml:space="preserve">to deal with </w:t>
      </w:r>
      <w:r w:rsidR="002E554D">
        <w:rPr>
          <w:sz w:val="22"/>
          <w:szCs w:val="22"/>
        </w:rPr>
        <w:t>were up 21.8%.</w:t>
      </w:r>
      <w:r w:rsidR="00407A25">
        <w:rPr>
          <w:sz w:val="22"/>
          <w:szCs w:val="22"/>
        </w:rPr>
        <w:t xml:space="preserve"> This speaks to the increasing complexity of queries and the rise in additional needs (see Table 6).</w:t>
      </w:r>
    </w:p>
    <w:p w14:paraId="1422FA1F" w14:textId="77777777" w:rsidR="00982CCA" w:rsidRDefault="00982CCA" w:rsidP="00982CCA">
      <w:pPr>
        <w:pStyle w:val="Heading2"/>
      </w:pPr>
    </w:p>
    <w:p w14:paraId="458F1038" w14:textId="71328185" w:rsidR="00982CCA" w:rsidRDefault="00982CCA" w:rsidP="00982CCA">
      <w:pPr>
        <w:pStyle w:val="Heading2"/>
      </w:pPr>
      <w:r>
        <w:t xml:space="preserve">Most frequent queries (payments/schemes) by time spent with an </w:t>
      </w:r>
      <w:r w:rsidR="00586C6E">
        <w:t>information provider</w:t>
      </w:r>
    </w:p>
    <w:p w14:paraId="42CC74FC" w14:textId="250C99DE" w:rsidR="00982CCA" w:rsidRPr="00982CCA" w:rsidRDefault="00982CCA" w:rsidP="00AE7CE9">
      <w:pPr>
        <w:jc w:val="both"/>
        <w:rPr>
          <w:sz w:val="22"/>
          <w:szCs w:val="22"/>
        </w:rPr>
      </w:pPr>
      <w:r w:rsidRPr="00982CCA">
        <w:rPr>
          <w:sz w:val="22"/>
          <w:szCs w:val="22"/>
        </w:rPr>
        <w:t>Table 7 gives some indication of the complexity of queries relating to various payments and schemes</w:t>
      </w:r>
      <w:r>
        <w:rPr>
          <w:sz w:val="22"/>
          <w:szCs w:val="22"/>
        </w:rPr>
        <w:t xml:space="preserve">, according to time spent with </w:t>
      </w:r>
      <w:r w:rsidR="00AE7CE9">
        <w:rPr>
          <w:sz w:val="22"/>
          <w:szCs w:val="22"/>
        </w:rPr>
        <w:t>information staff.</w:t>
      </w:r>
    </w:p>
    <w:p w14:paraId="1ED58ABF" w14:textId="3099410A" w:rsidR="00B73680" w:rsidRPr="00982CCA" w:rsidRDefault="00EE6517" w:rsidP="00C92219">
      <w:pPr>
        <w:pStyle w:val="Heading3"/>
        <w:rPr>
          <w:rFonts w:eastAsia="Times New Roman"/>
          <w:lang w:eastAsia="en-IE"/>
        </w:rPr>
      </w:pPr>
      <w:r w:rsidRPr="00982CCA">
        <w:rPr>
          <w:rFonts w:eastAsia="Times New Roman"/>
          <w:lang w:eastAsia="en-IE"/>
        </w:rPr>
        <w:t xml:space="preserve">Table 7: Top payments/ schemes </w:t>
      </w:r>
      <w:r w:rsidR="00982CCA">
        <w:rPr>
          <w:rFonts w:eastAsia="Times New Roman"/>
          <w:lang w:eastAsia="en-IE"/>
        </w:rPr>
        <w:t>by</w:t>
      </w:r>
      <w:r w:rsidRPr="00982CCA">
        <w:rPr>
          <w:rFonts w:eastAsia="Times New Roman"/>
          <w:lang w:eastAsia="en-IE"/>
        </w:rPr>
        <w:t xml:space="preserve"> time spent</w:t>
      </w:r>
      <w:r w:rsidR="0024193D" w:rsidRPr="00982CCA">
        <w:rPr>
          <w:rFonts w:eastAsia="Times New Roman"/>
          <w:lang w:eastAsia="en-IE"/>
        </w:rPr>
        <w:t xml:space="preserve"> 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60"/>
      </w:tblGrid>
      <w:tr w:rsidR="00A11901" w:rsidRPr="00A11901" w14:paraId="1BA24025" w14:textId="77777777" w:rsidTr="00C92219">
        <w:trPr>
          <w:trHeight w:val="281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37B75D98" w14:textId="77777777" w:rsidR="00A11901" w:rsidRPr="00A11901" w:rsidRDefault="00A11901" w:rsidP="00A11901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IE"/>
              </w:rPr>
            </w:pPr>
            <w:r w:rsidRPr="00A1190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215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108E5049" w14:textId="77777777" w:rsidR="00A11901" w:rsidRPr="00A11901" w:rsidRDefault="00A11901" w:rsidP="00EE651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  <w:lang w:eastAsia="en-IE"/>
              </w:rPr>
            </w:pPr>
            <w:r w:rsidRPr="000719E2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1</w:t>
            </w:r>
          </w:p>
        </w:tc>
        <w:tc>
          <w:tcPr>
            <w:tcW w:w="215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3EAABF9C" w14:textId="77777777" w:rsidR="00A11901" w:rsidRPr="00A11901" w:rsidRDefault="00A11901" w:rsidP="00EE651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  <w:lang w:eastAsia="en-IE"/>
              </w:rPr>
            </w:pPr>
            <w:r w:rsidRPr="000719E2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2</w:t>
            </w:r>
          </w:p>
        </w:tc>
        <w:tc>
          <w:tcPr>
            <w:tcW w:w="21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37859B44" w14:textId="77777777" w:rsidR="00A11901" w:rsidRPr="00A11901" w:rsidRDefault="00A11901" w:rsidP="00EE651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  <w:lang w:eastAsia="en-IE"/>
              </w:rPr>
            </w:pPr>
            <w:r w:rsidRPr="000719E2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3</w:t>
            </w:r>
          </w:p>
        </w:tc>
      </w:tr>
      <w:tr w:rsidR="00A11901" w:rsidRPr="00A11901" w14:paraId="747A5567" w14:textId="77777777" w:rsidTr="00982CCA">
        <w:trPr>
          <w:trHeight w:val="516"/>
        </w:trPr>
        <w:tc>
          <w:tcPr>
            <w:tcW w:w="21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3A838703" w14:textId="26AD7214" w:rsidR="00A11901" w:rsidRPr="00C92219" w:rsidRDefault="00A11901" w:rsidP="00C9221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C92219">
              <w:rPr>
                <w:rFonts w:eastAsia="Times New Roman"/>
                <w:sz w:val="20"/>
                <w:szCs w:val="20"/>
                <w:lang w:eastAsia="en-IE"/>
              </w:rPr>
              <w:t xml:space="preserve">10 minutes </w:t>
            </w:r>
            <w:r w:rsidR="00982CCA" w:rsidRPr="00C92219">
              <w:rPr>
                <w:rFonts w:eastAsia="Times New Roman"/>
                <w:sz w:val="20"/>
                <w:szCs w:val="20"/>
                <w:lang w:eastAsia="en-IE"/>
              </w:rPr>
              <w:t xml:space="preserve">&amp; </w:t>
            </w:r>
            <w:r w:rsidRPr="00C92219">
              <w:rPr>
                <w:rFonts w:eastAsia="Times New Roman"/>
                <w:sz w:val="20"/>
                <w:szCs w:val="20"/>
                <w:lang w:eastAsia="en-IE"/>
              </w:rPr>
              <w:t>under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2DF4113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29D05E94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9C92417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Carer's Allowance</w:t>
            </w:r>
          </w:p>
        </w:tc>
      </w:tr>
      <w:tr w:rsidR="00A11901" w:rsidRPr="00A11901" w14:paraId="725AB93E" w14:textId="77777777" w:rsidTr="00982CCA">
        <w:trPr>
          <w:trHeight w:val="516"/>
        </w:trPr>
        <w:tc>
          <w:tcPr>
            <w:tcW w:w="21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142B4276" w14:textId="77777777" w:rsidR="00A11901" w:rsidRPr="00C92219" w:rsidRDefault="00A11901" w:rsidP="00C9221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C92219">
              <w:rPr>
                <w:rFonts w:eastAsia="Times New Roman"/>
                <w:sz w:val="20"/>
                <w:szCs w:val="20"/>
                <w:lang w:eastAsia="en-IE"/>
              </w:rPr>
              <w:t>11-20 minutes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5AA16E06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7E06CF1E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644A429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Fuel Allowance</w:t>
            </w:r>
          </w:p>
        </w:tc>
      </w:tr>
      <w:tr w:rsidR="00A11901" w:rsidRPr="00A11901" w14:paraId="141232F7" w14:textId="77777777" w:rsidTr="00982CCA">
        <w:trPr>
          <w:trHeight w:val="516"/>
        </w:trPr>
        <w:tc>
          <w:tcPr>
            <w:tcW w:w="21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1D81857F" w14:textId="77777777" w:rsidR="00A11901" w:rsidRPr="00C92219" w:rsidRDefault="00A11901" w:rsidP="00C9221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C92219">
              <w:rPr>
                <w:rFonts w:eastAsia="Times New Roman"/>
                <w:sz w:val="20"/>
                <w:szCs w:val="20"/>
                <w:lang w:eastAsia="en-IE"/>
              </w:rPr>
              <w:t>21-40 minutes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CEB2A4A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4C2017F" w14:textId="77777777" w:rsidR="00A11901" w:rsidRPr="00982CCA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n-IE"/>
              </w:rPr>
            </w:pPr>
            <w:r w:rsidRPr="00982CCA">
              <w:rPr>
                <w:rFonts w:eastAsia="Times New Roman"/>
                <w:sz w:val="18"/>
                <w:szCs w:val="18"/>
                <w:lang w:eastAsia="en-IE"/>
              </w:rPr>
              <w:t>Applying for Local Authority/Social Housing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1C029D9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State Pension/ Contributory</w:t>
            </w:r>
          </w:p>
        </w:tc>
      </w:tr>
      <w:tr w:rsidR="00A11901" w:rsidRPr="00A11901" w14:paraId="75CAA31A" w14:textId="77777777" w:rsidTr="00982CCA">
        <w:trPr>
          <w:trHeight w:val="516"/>
        </w:trPr>
        <w:tc>
          <w:tcPr>
            <w:tcW w:w="21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1939EC00" w14:textId="77777777" w:rsidR="00A11901" w:rsidRPr="00C92219" w:rsidRDefault="00A11901" w:rsidP="00C9221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C92219">
              <w:rPr>
                <w:rFonts w:eastAsia="Times New Roman"/>
                <w:sz w:val="20"/>
                <w:szCs w:val="20"/>
                <w:lang w:eastAsia="en-IE"/>
              </w:rPr>
              <w:t>41-90 minutes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vAlign w:val="center"/>
            <w:hideMark/>
          </w:tcPr>
          <w:p w14:paraId="5E1F6D4D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vAlign w:val="center"/>
            <w:hideMark/>
          </w:tcPr>
          <w:p w14:paraId="76B110BD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vAlign w:val="center"/>
            <w:hideMark/>
          </w:tcPr>
          <w:p w14:paraId="01DC26D6" w14:textId="77777777" w:rsidR="00A11901" w:rsidRPr="00982CCA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n-IE"/>
              </w:rPr>
            </w:pPr>
            <w:r w:rsidRPr="00982CCA">
              <w:rPr>
                <w:rFonts w:eastAsia="Times New Roman"/>
                <w:sz w:val="18"/>
                <w:szCs w:val="18"/>
                <w:lang w:eastAsia="en-IE"/>
              </w:rPr>
              <w:t>Applying for Local Authority/Social Housing</w:t>
            </w:r>
          </w:p>
        </w:tc>
      </w:tr>
      <w:tr w:rsidR="00A11901" w:rsidRPr="00A11901" w14:paraId="50D9B05B" w14:textId="77777777" w:rsidTr="00982CCA">
        <w:trPr>
          <w:trHeight w:val="516"/>
        </w:trPr>
        <w:tc>
          <w:tcPr>
            <w:tcW w:w="21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79E00199" w14:textId="77777777" w:rsidR="00A11901" w:rsidRPr="00C92219" w:rsidRDefault="00A11901" w:rsidP="00C9221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C92219">
              <w:rPr>
                <w:rFonts w:eastAsia="Times New Roman"/>
                <w:sz w:val="20"/>
                <w:szCs w:val="20"/>
                <w:lang w:eastAsia="en-IE"/>
              </w:rPr>
              <w:t>91 minutes and over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21AA43BE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BF59EED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8DEA7D7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</w:tr>
    </w:tbl>
    <w:p w14:paraId="4A9BF264" w14:textId="611B2CFD" w:rsidR="00696110" w:rsidRPr="00982CCA" w:rsidRDefault="00586C6E" w:rsidP="00586C6E">
      <w:pPr>
        <w:pStyle w:val="Heading1"/>
      </w:pPr>
      <w:r>
        <w:t>Q</w:t>
      </w:r>
      <w:r w:rsidR="00696110" w:rsidRPr="00982CCA">
        <w:t xml:space="preserve">uery Summary </w:t>
      </w:r>
    </w:p>
    <w:p w14:paraId="5BAEC676" w14:textId="77777777" w:rsidR="00696110" w:rsidRPr="00C92219" w:rsidRDefault="00696110" w:rsidP="00696110">
      <w:pPr>
        <w:shd w:val="clear" w:color="auto" w:fill="FFFFFF" w:themeFill="background1"/>
        <w:jc w:val="both"/>
        <w:rPr>
          <w:sz w:val="22"/>
          <w:szCs w:val="22"/>
        </w:rPr>
      </w:pPr>
      <w:r w:rsidRPr="00726B8C">
        <w:rPr>
          <w:sz w:val="22"/>
          <w:szCs w:val="22"/>
        </w:rPr>
        <w:t xml:space="preserve">Services dealt with </w:t>
      </w:r>
      <w:r w:rsidRPr="00726B8C">
        <w:rPr>
          <w:b/>
          <w:sz w:val="22"/>
          <w:szCs w:val="22"/>
        </w:rPr>
        <w:t>197,215</w:t>
      </w:r>
      <w:r w:rsidRPr="00726B8C">
        <w:rPr>
          <w:sz w:val="22"/>
          <w:szCs w:val="22"/>
        </w:rPr>
        <w:t xml:space="preserve"> queries during Q3 2024, a </w:t>
      </w:r>
      <w:r w:rsidRPr="00C92219">
        <w:rPr>
          <w:sz w:val="22"/>
          <w:szCs w:val="22"/>
        </w:rPr>
        <w:t>decrease of 4.4%</w:t>
      </w:r>
      <w:r w:rsidRPr="00726B8C">
        <w:rPr>
          <w:sz w:val="22"/>
          <w:szCs w:val="22"/>
        </w:rPr>
        <w:t xml:space="preserve"> on the same period in 2023</w:t>
      </w:r>
      <w:r>
        <w:rPr>
          <w:sz w:val="22"/>
          <w:szCs w:val="22"/>
        </w:rPr>
        <w:t>: slightly fewer queries with a higher level of complexity.</w:t>
      </w:r>
      <w:r w:rsidRPr="00726B8C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caller to query ratio </w:t>
      </w:r>
      <w:r w:rsidRPr="00726B8C">
        <w:rPr>
          <w:sz w:val="22"/>
          <w:szCs w:val="22"/>
        </w:rPr>
        <w:t xml:space="preserve">declined </w:t>
      </w:r>
      <w:r>
        <w:rPr>
          <w:sz w:val="22"/>
          <w:szCs w:val="22"/>
        </w:rPr>
        <w:t>slightly from</w:t>
      </w:r>
      <w:r w:rsidRPr="00726B8C">
        <w:rPr>
          <w:sz w:val="22"/>
          <w:szCs w:val="22"/>
        </w:rPr>
        <w:t xml:space="preserve"> 1.99</w:t>
      </w:r>
      <w:r>
        <w:rPr>
          <w:sz w:val="22"/>
          <w:szCs w:val="22"/>
        </w:rPr>
        <w:t xml:space="preserve"> to 1.94</w:t>
      </w:r>
      <w:r w:rsidRPr="00726B8C">
        <w:rPr>
          <w:sz w:val="22"/>
          <w:szCs w:val="22"/>
        </w:rPr>
        <w:t xml:space="preserve">.  Over 45% of queries were related to social welfare rights and entitlements. Housing queries accounted for </w:t>
      </w:r>
      <w:r w:rsidRPr="00726B8C">
        <w:rPr>
          <w:sz w:val="22"/>
          <w:szCs w:val="22"/>
        </w:rPr>
        <w:lastRenderedPageBreak/>
        <w:t>11.2% and Health for 8% of queries.</w:t>
      </w:r>
      <w:r w:rsidRPr="00726B8C">
        <w:t xml:space="preserve"> </w:t>
      </w:r>
      <w:r w:rsidRPr="00C92219">
        <w:rPr>
          <w:sz w:val="22"/>
          <w:szCs w:val="22"/>
        </w:rPr>
        <w:t>Table 8, below, sets out the number of queries received across ‘parent’ category areas in Quarter 3 2024.  Table 9 provides a breakdown of the most queried single payments, schemes or entitlements with the highest number of queries overall in Quarter 3 2024.</w:t>
      </w:r>
    </w:p>
    <w:p w14:paraId="4A16726B" w14:textId="619C9409" w:rsidR="00942712" w:rsidRPr="00586C6E" w:rsidRDefault="00942712" w:rsidP="00586C6E">
      <w:pPr>
        <w:pStyle w:val="Heading3"/>
      </w:pPr>
      <w:r w:rsidRPr="00586C6E">
        <w:t xml:space="preserve">Table </w:t>
      </w:r>
      <w:r w:rsidR="00EE6517" w:rsidRPr="00586C6E">
        <w:t>8</w:t>
      </w:r>
      <w:r w:rsidRPr="00586C6E">
        <w:t xml:space="preserve"> - Query Profile</w:t>
      </w:r>
      <w:r w:rsidR="00111C28" w:rsidRPr="00586C6E">
        <w:t xml:space="preserve"> by ‘parent’ category</w:t>
      </w:r>
      <w:r w:rsidRPr="00586C6E">
        <w:t xml:space="preserve"> </w:t>
      </w:r>
    </w:p>
    <w:tbl>
      <w:tblPr>
        <w:tblStyle w:val="GridTable5Dark-Accent6"/>
        <w:tblW w:w="7933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3114"/>
        <w:gridCol w:w="1417"/>
        <w:gridCol w:w="1418"/>
        <w:gridCol w:w="1984"/>
      </w:tblGrid>
      <w:tr w:rsidR="003D7437" w:rsidRPr="00726B8C" w14:paraId="4B33B67E" w14:textId="03434A19" w:rsidTr="00696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A304AFC" w14:textId="77777777" w:rsidR="003D7437" w:rsidRPr="00726B8C" w:rsidRDefault="003D7437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0719E2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Query Category</w:t>
            </w:r>
          </w:p>
        </w:tc>
        <w:tc>
          <w:tcPr>
            <w:tcW w:w="1417" w:type="dxa"/>
            <w:hideMark/>
          </w:tcPr>
          <w:p w14:paraId="09B996C4" w14:textId="77777777" w:rsidR="003D7437" w:rsidRPr="00726B8C" w:rsidRDefault="003D7437" w:rsidP="00071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0719E2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# of Queries</w:t>
            </w:r>
          </w:p>
        </w:tc>
        <w:tc>
          <w:tcPr>
            <w:tcW w:w="1418" w:type="dxa"/>
            <w:hideMark/>
          </w:tcPr>
          <w:p w14:paraId="2FD9A24A" w14:textId="77777777" w:rsidR="003D7437" w:rsidRPr="00726B8C" w:rsidRDefault="003D7437" w:rsidP="00071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0719E2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% of all Queries</w:t>
            </w:r>
          </w:p>
        </w:tc>
        <w:tc>
          <w:tcPr>
            <w:tcW w:w="1984" w:type="dxa"/>
          </w:tcPr>
          <w:p w14:paraId="477E44AC" w14:textId="3FCEA428" w:rsidR="003D7437" w:rsidRPr="00726B8C" w:rsidRDefault="00EC3980" w:rsidP="00B0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IE"/>
              </w:rPr>
            </w:pPr>
            <w:r w:rsidRPr="00B04BC9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% Change</w:t>
            </w:r>
            <w:r w:rsidR="00111C28" w:rsidRPr="00B04BC9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 xml:space="preserve"> Q3, 2023-Q3, 2024</w:t>
            </w:r>
          </w:p>
        </w:tc>
      </w:tr>
      <w:tr w:rsidR="004245A9" w:rsidRPr="00726B8C" w14:paraId="6A2A191A" w14:textId="521D5F0A" w:rsidTr="0069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19ECCFCD" w14:textId="1FC05C09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Welfare</w:t>
            </w:r>
          </w:p>
        </w:tc>
        <w:tc>
          <w:tcPr>
            <w:tcW w:w="1417" w:type="dxa"/>
            <w:noWrap/>
            <w:vAlign w:val="center"/>
            <w:hideMark/>
          </w:tcPr>
          <w:p w14:paraId="2CEC9EA6" w14:textId="7C6DBF0B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1418" w:type="dxa"/>
            <w:noWrap/>
            <w:vAlign w:val="center"/>
            <w:hideMark/>
          </w:tcPr>
          <w:p w14:paraId="0C8F2278" w14:textId="461D03AC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45.8%</w:t>
            </w:r>
          </w:p>
        </w:tc>
        <w:tc>
          <w:tcPr>
            <w:tcW w:w="1984" w:type="dxa"/>
            <w:vAlign w:val="center"/>
          </w:tcPr>
          <w:p w14:paraId="4BD3EA55" w14:textId="1946FF03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-6.5%</w:t>
            </w:r>
          </w:p>
        </w:tc>
      </w:tr>
      <w:tr w:rsidR="004245A9" w:rsidRPr="00726B8C" w14:paraId="1C02DD3B" w14:textId="1BD1A7B5" w:rsidTr="0069611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6C11ED88" w14:textId="41D5D03C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Housing</w:t>
            </w:r>
          </w:p>
        </w:tc>
        <w:tc>
          <w:tcPr>
            <w:tcW w:w="1417" w:type="dxa"/>
            <w:noWrap/>
            <w:vAlign w:val="center"/>
            <w:hideMark/>
          </w:tcPr>
          <w:p w14:paraId="06D27A9D" w14:textId="385C21AE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22,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418" w:type="dxa"/>
            <w:noWrap/>
            <w:vAlign w:val="center"/>
            <w:hideMark/>
          </w:tcPr>
          <w:p w14:paraId="53B6846B" w14:textId="6A66AB3C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11.2%</w:t>
            </w:r>
          </w:p>
        </w:tc>
        <w:tc>
          <w:tcPr>
            <w:tcW w:w="1984" w:type="dxa"/>
            <w:vAlign w:val="center"/>
          </w:tcPr>
          <w:p w14:paraId="551B82A6" w14:textId="7A850FE8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-0.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25720463" w14:textId="1B70077A" w:rsidTr="0069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4EDEA8A" w14:textId="1D8E8A65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417" w:type="dxa"/>
            <w:noWrap/>
            <w:vAlign w:val="center"/>
            <w:hideMark/>
          </w:tcPr>
          <w:p w14:paraId="264B7C43" w14:textId="5A2ED082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5,807</w:t>
            </w:r>
          </w:p>
        </w:tc>
        <w:tc>
          <w:tcPr>
            <w:tcW w:w="1418" w:type="dxa"/>
            <w:noWrap/>
            <w:vAlign w:val="center"/>
            <w:hideMark/>
          </w:tcPr>
          <w:p w14:paraId="38EADECC" w14:textId="1E0743CD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1984" w:type="dxa"/>
            <w:vAlign w:val="center"/>
          </w:tcPr>
          <w:p w14:paraId="33DB9FC0" w14:textId="5DC03C5A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+6.8%</w:t>
            </w:r>
          </w:p>
        </w:tc>
      </w:tr>
      <w:tr w:rsidR="004245A9" w:rsidRPr="00726B8C" w14:paraId="67D5754B" w14:textId="0B8C46B8" w:rsidTr="00696110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221F205C" w14:textId="3CED0FEF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1417" w:type="dxa"/>
            <w:noWrap/>
            <w:vAlign w:val="center"/>
            <w:hideMark/>
          </w:tcPr>
          <w:p w14:paraId="1F292D76" w14:textId="74D4F2EB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13,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418" w:type="dxa"/>
            <w:noWrap/>
            <w:vAlign w:val="center"/>
            <w:hideMark/>
          </w:tcPr>
          <w:p w14:paraId="09C1B8A6" w14:textId="59DE2C1F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1984" w:type="dxa"/>
            <w:vAlign w:val="center"/>
          </w:tcPr>
          <w:p w14:paraId="1F81BCA4" w14:textId="32D83950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+4.5%</w:t>
            </w:r>
          </w:p>
        </w:tc>
      </w:tr>
      <w:tr w:rsidR="004245A9" w:rsidRPr="00726B8C" w14:paraId="2AB9B3D9" w14:textId="4F2E911B" w:rsidTr="0069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0301B8E8" w14:textId="18BDD195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417" w:type="dxa"/>
            <w:noWrap/>
            <w:vAlign w:val="center"/>
            <w:hideMark/>
          </w:tcPr>
          <w:p w14:paraId="741F5D04" w14:textId="55144A7F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0,877</w:t>
            </w:r>
          </w:p>
        </w:tc>
        <w:tc>
          <w:tcPr>
            <w:tcW w:w="1418" w:type="dxa"/>
            <w:noWrap/>
            <w:vAlign w:val="center"/>
            <w:hideMark/>
          </w:tcPr>
          <w:p w14:paraId="72406042" w14:textId="722FB1C1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1984" w:type="dxa"/>
            <w:vAlign w:val="center"/>
          </w:tcPr>
          <w:p w14:paraId="4881951F" w14:textId="2C1B8C21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-7.9%</w:t>
            </w:r>
          </w:p>
        </w:tc>
      </w:tr>
      <w:tr w:rsidR="004245A9" w:rsidRPr="00726B8C" w14:paraId="0B00E405" w14:textId="2E4297B6" w:rsidTr="0069611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13546A7" w14:textId="4D9DAFB7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Money and Tax</w:t>
            </w:r>
          </w:p>
        </w:tc>
        <w:tc>
          <w:tcPr>
            <w:tcW w:w="1417" w:type="dxa"/>
            <w:noWrap/>
            <w:vAlign w:val="center"/>
            <w:hideMark/>
          </w:tcPr>
          <w:p w14:paraId="63E43EB2" w14:textId="26556652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0,490</w:t>
            </w:r>
          </w:p>
        </w:tc>
        <w:tc>
          <w:tcPr>
            <w:tcW w:w="1418" w:type="dxa"/>
            <w:noWrap/>
            <w:vAlign w:val="center"/>
            <w:hideMark/>
          </w:tcPr>
          <w:p w14:paraId="46461E30" w14:textId="1C80C0F0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1984" w:type="dxa"/>
            <w:vAlign w:val="center"/>
          </w:tcPr>
          <w:p w14:paraId="4BC2E59A" w14:textId="654D5FB8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-6.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5C57F259" w14:textId="0EEF1F89" w:rsidTr="0069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C38395B" w14:textId="62BF531F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Moving Country</w:t>
            </w:r>
          </w:p>
        </w:tc>
        <w:tc>
          <w:tcPr>
            <w:tcW w:w="1417" w:type="dxa"/>
            <w:noWrap/>
            <w:vAlign w:val="center"/>
            <w:hideMark/>
          </w:tcPr>
          <w:p w14:paraId="53FD31F9" w14:textId="1067F55E" w:rsidR="004245A9" w:rsidRPr="00696110" w:rsidRDefault="0076530D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9,737</w:t>
            </w:r>
          </w:p>
        </w:tc>
        <w:tc>
          <w:tcPr>
            <w:tcW w:w="1418" w:type="dxa"/>
            <w:noWrap/>
            <w:vAlign w:val="center"/>
            <w:hideMark/>
          </w:tcPr>
          <w:p w14:paraId="3372F619" w14:textId="6456E862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984" w:type="dxa"/>
            <w:vAlign w:val="center"/>
          </w:tcPr>
          <w:p w14:paraId="06999567" w14:textId="7EB70C28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-2.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47AA87DC" w14:textId="4D054099" w:rsidTr="0069611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4F9354C" w14:textId="667607BF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Travel and Recreation</w:t>
            </w:r>
          </w:p>
        </w:tc>
        <w:tc>
          <w:tcPr>
            <w:tcW w:w="1417" w:type="dxa"/>
            <w:noWrap/>
            <w:vAlign w:val="center"/>
            <w:hideMark/>
          </w:tcPr>
          <w:p w14:paraId="577E6CD7" w14:textId="67CD6DC4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5,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418" w:type="dxa"/>
            <w:noWrap/>
            <w:vAlign w:val="center"/>
            <w:hideMark/>
          </w:tcPr>
          <w:p w14:paraId="282251D8" w14:textId="189058D5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984" w:type="dxa"/>
            <w:vAlign w:val="center"/>
          </w:tcPr>
          <w:p w14:paraId="5D8BFF8D" w14:textId="4F5A4754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-2.0%</w:t>
            </w:r>
          </w:p>
        </w:tc>
      </w:tr>
      <w:tr w:rsidR="004245A9" w:rsidRPr="00726B8C" w14:paraId="579D6D2D" w14:textId="5ED7B97C" w:rsidTr="0069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742AEC31" w14:textId="35912C3D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Justice</w:t>
            </w:r>
          </w:p>
        </w:tc>
        <w:tc>
          <w:tcPr>
            <w:tcW w:w="1417" w:type="dxa"/>
            <w:noWrap/>
            <w:vAlign w:val="center"/>
            <w:hideMark/>
          </w:tcPr>
          <w:p w14:paraId="2DB41BDF" w14:textId="2416EF7E" w:rsidR="004245A9" w:rsidRPr="00696110" w:rsidRDefault="0076530D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4,655</w:t>
            </w:r>
          </w:p>
        </w:tc>
        <w:tc>
          <w:tcPr>
            <w:tcW w:w="1418" w:type="dxa"/>
            <w:noWrap/>
            <w:vAlign w:val="center"/>
            <w:hideMark/>
          </w:tcPr>
          <w:p w14:paraId="719E0E74" w14:textId="1C749D9D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984" w:type="dxa"/>
            <w:vAlign w:val="center"/>
          </w:tcPr>
          <w:p w14:paraId="14F3AE27" w14:textId="556F3177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-14.8%</w:t>
            </w:r>
          </w:p>
        </w:tc>
      </w:tr>
      <w:tr w:rsidR="004245A9" w:rsidRPr="00726B8C" w14:paraId="254A3CF8" w14:textId="636CDB6B" w:rsidTr="0069611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4D724D0F" w14:textId="564A8AED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Birth, Family and Relationships</w:t>
            </w:r>
          </w:p>
        </w:tc>
        <w:tc>
          <w:tcPr>
            <w:tcW w:w="1417" w:type="dxa"/>
            <w:noWrap/>
            <w:vAlign w:val="center"/>
            <w:hideMark/>
          </w:tcPr>
          <w:p w14:paraId="35032000" w14:textId="1808837E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4,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418" w:type="dxa"/>
            <w:noWrap/>
            <w:vAlign w:val="center"/>
            <w:hideMark/>
          </w:tcPr>
          <w:p w14:paraId="53EF7AE3" w14:textId="6A46CB4B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984" w:type="dxa"/>
            <w:vAlign w:val="center"/>
          </w:tcPr>
          <w:p w14:paraId="622A7C20" w14:textId="6460219C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-7.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4C434DBD" w14:textId="12E8B2D1" w:rsidTr="0069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2C11BC27" w14:textId="32142D8E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Education and Training</w:t>
            </w:r>
          </w:p>
        </w:tc>
        <w:tc>
          <w:tcPr>
            <w:tcW w:w="1417" w:type="dxa"/>
            <w:noWrap/>
            <w:vAlign w:val="center"/>
            <w:hideMark/>
          </w:tcPr>
          <w:p w14:paraId="3F6BF7A3" w14:textId="1181AF5B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4,</w:t>
            </w:r>
            <w:r w:rsidR="008719F9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18" w:type="dxa"/>
            <w:noWrap/>
            <w:vAlign w:val="center"/>
            <w:hideMark/>
          </w:tcPr>
          <w:p w14:paraId="2C080F65" w14:textId="358E638A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984" w:type="dxa"/>
            <w:vAlign w:val="center"/>
          </w:tcPr>
          <w:p w14:paraId="0420B194" w14:textId="477DAFBE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-14.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4CE6A950" w14:textId="75493056" w:rsidTr="0069611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4D0A2067" w14:textId="1A8EE41A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Consumer Affairs</w:t>
            </w:r>
          </w:p>
        </w:tc>
        <w:tc>
          <w:tcPr>
            <w:tcW w:w="1417" w:type="dxa"/>
            <w:noWrap/>
            <w:vAlign w:val="center"/>
            <w:hideMark/>
          </w:tcPr>
          <w:p w14:paraId="1889F9F8" w14:textId="50E6367B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2,</w:t>
            </w:r>
            <w:r w:rsidR="008719F9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418" w:type="dxa"/>
            <w:noWrap/>
            <w:vAlign w:val="center"/>
            <w:hideMark/>
          </w:tcPr>
          <w:p w14:paraId="00475DD0" w14:textId="75A99207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984" w:type="dxa"/>
            <w:vAlign w:val="center"/>
          </w:tcPr>
          <w:p w14:paraId="13D04E94" w14:textId="477FE95B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-4.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51FD3D24" w14:textId="396336A5" w:rsidTr="0069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47FA371B" w14:textId="7C7C920A" w:rsidR="004245A9" w:rsidRPr="00696110" w:rsidRDefault="008719F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Death and Bereavement</w:t>
            </w:r>
          </w:p>
        </w:tc>
        <w:tc>
          <w:tcPr>
            <w:tcW w:w="1417" w:type="dxa"/>
            <w:noWrap/>
            <w:vAlign w:val="center"/>
            <w:hideMark/>
          </w:tcPr>
          <w:p w14:paraId="6520F540" w14:textId="6A56FED0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1,3</w:t>
            </w:r>
            <w:r w:rsidR="008719F9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noWrap/>
            <w:vAlign w:val="center"/>
            <w:hideMark/>
          </w:tcPr>
          <w:p w14:paraId="3C6D8E6A" w14:textId="04C8BCD9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984" w:type="dxa"/>
            <w:vAlign w:val="center"/>
          </w:tcPr>
          <w:p w14:paraId="2E34183B" w14:textId="11281F5A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+0.5%</w:t>
            </w:r>
          </w:p>
        </w:tc>
      </w:tr>
      <w:tr w:rsidR="004245A9" w:rsidRPr="00726B8C" w14:paraId="781E02AC" w14:textId="1F92636E" w:rsidTr="0069611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7B1F769A" w14:textId="51FB7A66" w:rsidR="004245A9" w:rsidRPr="00696110" w:rsidRDefault="008719F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Government in Ireland</w:t>
            </w:r>
          </w:p>
        </w:tc>
        <w:tc>
          <w:tcPr>
            <w:tcW w:w="1417" w:type="dxa"/>
            <w:noWrap/>
            <w:vAlign w:val="center"/>
            <w:hideMark/>
          </w:tcPr>
          <w:p w14:paraId="0115DAB3" w14:textId="144BE615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1,</w:t>
            </w:r>
            <w:r w:rsidR="008719F9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418" w:type="dxa"/>
            <w:noWrap/>
            <w:vAlign w:val="center"/>
            <w:hideMark/>
          </w:tcPr>
          <w:p w14:paraId="3E73B61B" w14:textId="66B119BA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984" w:type="dxa"/>
            <w:vAlign w:val="center"/>
          </w:tcPr>
          <w:p w14:paraId="4DFD3E30" w14:textId="4B478AA0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-8.3%</w:t>
            </w:r>
          </w:p>
        </w:tc>
      </w:tr>
      <w:tr w:rsidR="004245A9" w:rsidRPr="00726B8C" w14:paraId="1B0AE63B" w14:textId="07479F5E" w:rsidTr="0069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259761F" w14:textId="6F456B46" w:rsidR="004245A9" w:rsidRPr="00696110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417" w:type="dxa"/>
            <w:noWrap/>
            <w:vAlign w:val="center"/>
            <w:hideMark/>
          </w:tcPr>
          <w:p w14:paraId="2D1563FF" w14:textId="19D5E412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8719F9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noWrap/>
            <w:vAlign w:val="center"/>
            <w:hideMark/>
          </w:tcPr>
          <w:p w14:paraId="28A9F439" w14:textId="0E046B1E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984" w:type="dxa"/>
            <w:vAlign w:val="center"/>
          </w:tcPr>
          <w:p w14:paraId="61B98A26" w14:textId="261EEAED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+1.</w:t>
            </w:r>
            <w:r w:rsidR="0076530D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3D7437" w:rsidRPr="00726B8C" w14:paraId="15AA2512" w14:textId="2FB3A409" w:rsidTr="0069611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550DFB77" w14:textId="77777777" w:rsidR="003D7437" w:rsidRPr="00726B8C" w:rsidRDefault="003D7437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417" w:type="dxa"/>
            <w:noWrap/>
          </w:tcPr>
          <w:p w14:paraId="1474D72E" w14:textId="24F0D6A9" w:rsidR="003D7437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197,215</w:t>
            </w:r>
          </w:p>
        </w:tc>
        <w:tc>
          <w:tcPr>
            <w:tcW w:w="1418" w:type="dxa"/>
            <w:noWrap/>
            <w:hideMark/>
          </w:tcPr>
          <w:p w14:paraId="616FB61B" w14:textId="77777777" w:rsidR="003D7437" w:rsidRPr="00696110" w:rsidRDefault="003D7437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14:paraId="19A8BA26" w14:textId="77777777" w:rsidR="003D7437" w:rsidRPr="00726B8C" w:rsidRDefault="003D7437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</w:tbl>
    <w:p w14:paraId="766245B5" w14:textId="77777777" w:rsidR="00894579" w:rsidRDefault="00894579" w:rsidP="00290362">
      <w:pPr>
        <w:pStyle w:val="Heading3"/>
        <w:rPr>
          <w:rFonts w:ascii="Calibri" w:eastAsia="Times New Roman" w:hAnsi="Calibri" w:cs="Calibri"/>
          <w:lang w:eastAsia="en-IE"/>
        </w:rPr>
      </w:pPr>
    </w:p>
    <w:p w14:paraId="3B5CCF4C" w14:textId="620F0C93" w:rsidR="00942712" w:rsidRPr="00586C6E" w:rsidRDefault="00942712" w:rsidP="00586C6E">
      <w:pPr>
        <w:pStyle w:val="Heading3"/>
      </w:pPr>
      <w:r w:rsidRPr="00586C6E">
        <w:t xml:space="preserve">Table </w:t>
      </w:r>
      <w:r w:rsidR="00EE6517" w:rsidRPr="00586C6E">
        <w:t>9</w:t>
      </w:r>
      <w:r w:rsidRPr="00586C6E">
        <w:t xml:space="preserve"> </w:t>
      </w:r>
      <w:r w:rsidR="00214431" w:rsidRPr="00586C6E">
        <w:t>–</w:t>
      </w:r>
      <w:r w:rsidRPr="00586C6E">
        <w:t xml:space="preserve"> Top</w:t>
      </w:r>
      <w:r w:rsidR="00214431" w:rsidRPr="00586C6E">
        <w:t xml:space="preserve"> </w:t>
      </w:r>
      <w:r w:rsidRPr="00586C6E">
        <w:t>Ten</w:t>
      </w:r>
      <w:r w:rsidR="00111C28" w:rsidRPr="00586C6E">
        <w:t xml:space="preserve"> (i.e. most queried)</w:t>
      </w:r>
      <w:r w:rsidRPr="00586C6E">
        <w:t xml:space="preserve"> Payments or Schemes, Q3 202</w:t>
      </w:r>
      <w:r w:rsidR="004245A9" w:rsidRPr="00586C6E">
        <w:t>4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  <w:tblCaption w:val="Table 5 - Top ten single payments or schemes for quarter 1 2021"/>
        <w:tblDescription w:val="This table shows the top 10 Single Payment or Schemes with the percentage of total queries shown also."/>
      </w:tblPr>
      <w:tblGrid>
        <w:gridCol w:w="399"/>
        <w:gridCol w:w="3832"/>
        <w:gridCol w:w="1324"/>
        <w:gridCol w:w="2157"/>
      </w:tblGrid>
      <w:tr w:rsidR="002E554D" w:rsidRPr="00726B8C" w14:paraId="18A96E94" w14:textId="77777777" w:rsidTr="00696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9049F2" w14:textId="77777777" w:rsidR="002E554D" w:rsidRPr="00726B8C" w:rsidRDefault="002E554D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</w:p>
        </w:tc>
        <w:tc>
          <w:tcPr>
            <w:tcW w:w="0" w:type="auto"/>
            <w:hideMark/>
          </w:tcPr>
          <w:p w14:paraId="6455DC20" w14:textId="77777777" w:rsidR="002E554D" w:rsidRPr="00726B8C" w:rsidRDefault="002E554D" w:rsidP="00B22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B22D8A">
              <w:rPr>
                <w:rFonts w:ascii="Calibri" w:eastAsia="Times New Roman" w:hAnsi="Calibri" w:cs="Calibri"/>
                <w:lang w:eastAsia="en-IE"/>
              </w:rPr>
              <w:t>Single Payment or Scheme</w:t>
            </w:r>
          </w:p>
        </w:tc>
        <w:tc>
          <w:tcPr>
            <w:tcW w:w="0" w:type="auto"/>
            <w:hideMark/>
          </w:tcPr>
          <w:p w14:paraId="4CEA9822" w14:textId="77777777" w:rsidR="002E554D" w:rsidRPr="00726B8C" w:rsidRDefault="002E554D" w:rsidP="00EC7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B22D8A">
              <w:rPr>
                <w:rFonts w:ascii="Calibri" w:eastAsia="Times New Roman" w:hAnsi="Calibri" w:cs="Calibri"/>
                <w:lang w:eastAsia="en-IE"/>
              </w:rPr>
              <w:t># of Queries</w:t>
            </w:r>
          </w:p>
        </w:tc>
        <w:tc>
          <w:tcPr>
            <w:tcW w:w="0" w:type="auto"/>
            <w:hideMark/>
          </w:tcPr>
          <w:p w14:paraId="5EDB2864" w14:textId="77777777" w:rsidR="002E554D" w:rsidRPr="00726B8C" w:rsidRDefault="002E554D" w:rsidP="00EC7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B22D8A">
              <w:rPr>
                <w:rFonts w:ascii="Calibri" w:eastAsia="Times New Roman" w:hAnsi="Calibri" w:cs="Calibri"/>
                <w:lang w:eastAsia="en-IE"/>
              </w:rPr>
              <w:t>% of Top Ten Queries</w:t>
            </w:r>
          </w:p>
        </w:tc>
      </w:tr>
      <w:tr w:rsidR="002E554D" w:rsidRPr="00726B8C" w14:paraId="2BF78C59" w14:textId="77777777" w:rsidTr="00894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79305C60" w14:textId="77777777" w:rsidR="00B53D45" w:rsidRDefault="00B53D45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  <w:p w14:paraId="3703ECF9" w14:textId="68E01FC9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C746D9" w14:textId="539DB52A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Medical Card</w:t>
            </w:r>
          </w:p>
        </w:tc>
        <w:tc>
          <w:tcPr>
            <w:tcW w:w="0" w:type="auto"/>
            <w:noWrap/>
            <w:vAlign w:val="center"/>
            <w:hideMark/>
          </w:tcPr>
          <w:p w14:paraId="27B08ED4" w14:textId="1480CDEE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9,724</w:t>
            </w:r>
          </w:p>
          <w:p w14:paraId="75F5BA9C" w14:textId="77F1EA2A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I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04F352" w14:textId="53489D86" w:rsidR="00370518" w:rsidRPr="00696110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17.1%</w:t>
            </w:r>
          </w:p>
        </w:tc>
      </w:tr>
      <w:tr w:rsidR="002E554D" w:rsidRPr="00726B8C" w14:paraId="52244A74" w14:textId="77777777" w:rsidTr="00894579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1687D29" w14:textId="77777777" w:rsidR="00B53D45" w:rsidRDefault="00B53D45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  <w:p w14:paraId="52CFFA0A" w14:textId="4F54C0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0" w:type="auto"/>
            <w:vAlign w:val="center"/>
          </w:tcPr>
          <w:p w14:paraId="266E7DE2" w14:textId="20963EE6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0" w:type="auto"/>
            <w:noWrap/>
            <w:vAlign w:val="center"/>
            <w:hideMark/>
          </w:tcPr>
          <w:p w14:paraId="77E00763" w14:textId="0831B0D0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6,744</w:t>
            </w:r>
          </w:p>
        </w:tc>
        <w:tc>
          <w:tcPr>
            <w:tcW w:w="0" w:type="auto"/>
            <w:noWrap/>
            <w:vAlign w:val="center"/>
            <w:hideMark/>
          </w:tcPr>
          <w:p w14:paraId="68885B52" w14:textId="55770D5D" w:rsidR="00370518" w:rsidRPr="00696110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11.9%</w:t>
            </w:r>
          </w:p>
        </w:tc>
      </w:tr>
      <w:tr w:rsidR="002E554D" w:rsidRPr="00726B8C" w14:paraId="74774EDD" w14:textId="77777777" w:rsidTr="00894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BFA8039" w14:textId="77777777" w:rsidR="00B53D45" w:rsidRDefault="00B53D45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  <w:p w14:paraId="55493309" w14:textId="3728315D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0" w:type="auto"/>
            <w:vAlign w:val="center"/>
          </w:tcPr>
          <w:p w14:paraId="17EEA13A" w14:textId="7415D076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2E55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Fuel Allowance</w:t>
            </w:r>
          </w:p>
        </w:tc>
        <w:tc>
          <w:tcPr>
            <w:tcW w:w="0" w:type="auto"/>
            <w:noWrap/>
            <w:vAlign w:val="center"/>
            <w:hideMark/>
          </w:tcPr>
          <w:p w14:paraId="38ABF2A1" w14:textId="6A6D6B6A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6,556</w:t>
            </w:r>
          </w:p>
        </w:tc>
        <w:tc>
          <w:tcPr>
            <w:tcW w:w="0" w:type="auto"/>
            <w:noWrap/>
            <w:vAlign w:val="center"/>
            <w:hideMark/>
          </w:tcPr>
          <w:p w14:paraId="3787EC0C" w14:textId="5D0988E7" w:rsidR="00370518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11.5%</w:t>
            </w:r>
          </w:p>
        </w:tc>
      </w:tr>
      <w:tr w:rsidR="002E554D" w:rsidRPr="00726B8C" w14:paraId="28DA6761" w14:textId="77777777" w:rsidTr="00894579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0197191" w14:textId="777777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0" w:type="auto"/>
            <w:vAlign w:val="center"/>
          </w:tcPr>
          <w:p w14:paraId="625A2A48" w14:textId="429E2717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State Pension Contributory</w:t>
            </w:r>
          </w:p>
        </w:tc>
        <w:tc>
          <w:tcPr>
            <w:tcW w:w="0" w:type="auto"/>
            <w:noWrap/>
            <w:vAlign w:val="center"/>
            <w:hideMark/>
          </w:tcPr>
          <w:p w14:paraId="3814F222" w14:textId="6A84BB83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6,272</w:t>
            </w:r>
          </w:p>
        </w:tc>
        <w:tc>
          <w:tcPr>
            <w:tcW w:w="0" w:type="auto"/>
            <w:noWrap/>
            <w:vAlign w:val="center"/>
            <w:hideMark/>
          </w:tcPr>
          <w:p w14:paraId="1699E45C" w14:textId="69507E23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11.2%</w:t>
            </w:r>
          </w:p>
        </w:tc>
      </w:tr>
      <w:tr w:rsidR="002E554D" w:rsidRPr="00726B8C" w14:paraId="16AEFD0C" w14:textId="77777777" w:rsidTr="00894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DBCB26D" w14:textId="777777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0" w:type="auto"/>
            <w:vAlign w:val="center"/>
          </w:tcPr>
          <w:p w14:paraId="04A47CED" w14:textId="1784247A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0" w:type="auto"/>
            <w:noWrap/>
            <w:vAlign w:val="center"/>
            <w:hideMark/>
          </w:tcPr>
          <w:p w14:paraId="3559472C" w14:textId="70BF009C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5,794</w:t>
            </w:r>
          </w:p>
        </w:tc>
        <w:tc>
          <w:tcPr>
            <w:tcW w:w="0" w:type="auto"/>
            <w:noWrap/>
            <w:vAlign w:val="center"/>
            <w:hideMark/>
          </w:tcPr>
          <w:p w14:paraId="3D0C29DE" w14:textId="5B2FC8E3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10.</w:t>
            </w:r>
            <w:r w:rsidR="007127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Pr="002E55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554D" w:rsidRPr="00726B8C" w14:paraId="28B8622C" w14:textId="77777777" w:rsidTr="00894579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63F3FB7" w14:textId="77777777" w:rsidR="00B53D45" w:rsidRDefault="00B53D45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  <w:p w14:paraId="522E6F34" w14:textId="2879730B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0" w:type="auto"/>
            <w:vAlign w:val="center"/>
          </w:tcPr>
          <w:p w14:paraId="22B6039B" w14:textId="18D3960A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Carer’s Allowance</w:t>
            </w:r>
          </w:p>
        </w:tc>
        <w:tc>
          <w:tcPr>
            <w:tcW w:w="0" w:type="auto"/>
            <w:noWrap/>
            <w:vAlign w:val="center"/>
            <w:hideMark/>
          </w:tcPr>
          <w:p w14:paraId="3BB51904" w14:textId="6A876764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5,658</w:t>
            </w:r>
          </w:p>
        </w:tc>
        <w:tc>
          <w:tcPr>
            <w:tcW w:w="0" w:type="auto"/>
            <w:noWrap/>
            <w:vAlign w:val="center"/>
            <w:hideMark/>
          </w:tcPr>
          <w:p w14:paraId="2D8D81C6" w14:textId="51D5FE7A" w:rsidR="00370518" w:rsidRPr="002E554D" w:rsidRDefault="00014EAA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</w:t>
            </w:r>
            <w:r w:rsidR="002E554D"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2E554D" w:rsidRPr="00726B8C" w14:paraId="69C7BC3F" w14:textId="77777777" w:rsidTr="00894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49AF246" w14:textId="777777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ED8FD4" w14:textId="59E265C8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Household Benefits Package</w:t>
            </w:r>
          </w:p>
        </w:tc>
        <w:tc>
          <w:tcPr>
            <w:tcW w:w="0" w:type="auto"/>
            <w:noWrap/>
            <w:vAlign w:val="center"/>
            <w:hideMark/>
          </w:tcPr>
          <w:p w14:paraId="0CB37995" w14:textId="67966355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4,411</w:t>
            </w:r>
          </w:p>
        </w:tc>
        <w:tc>
          <w:tcPr>
            <w:tcW w:w="0" w:type="auto"/>
            <w:noWrap/>
            <w:vAlign w:val="center"/>
            <w:hideMark/>
          </w:tcPr>
          <w:p w14:paraId="5C4BFA21" w14:textId="46F75D11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</w:tr>
      <w:tr w:rsidR="002E554D" w:rsidRPr="00726B8C" w14:paraId="529A70A8" w14:textId="77777777" w:rsidTr="00894579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F8D515A" w14:textId="77777777" w:rsidR="00B53D45" w:rsidRDefault="00B53D45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  <w:p w14:paraId="2E8DAB2F" w14:textId="25D10A85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242311" w14:textId="537C3DB3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Jobseeker’s Allowance</w:t>
            </w:r>
          </w:p>
        </w:tc>
        <w:tc>
          <w:tcPr>
            <w:tcW w:w="0" w:type="auto"/>
            <w:noWrap/>
            <w:vAlign w:val="center"/>
            <w:hideMark/>
          </w:tcPr>
          <w:p w14:paraId="54620496" w14:textId="0F6DA553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4,226</w:t>
            </w:r>
          </w:p>
        </w:tc>
        <w:tc>
          <w:tcPr>
            <w:tcW w:w="0" w:type="auto"/>
            <w:noWrap/>
            <w:vAlign w:val="center"/>
            <w:hideMark/>
          </w:tcPr>
          <w:p w14:paraId="4F56DE49" w14:textId="19907221" w:rsidR="00370518" w:rsidRPr="00696110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  <w:r w:rsidR="00FA670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2E554D" w:rsidRPr="00726B8C" w14:paraId="5451C1D9" w14:textId="77777777" w:rsidTr="00894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9E0CA94" w14:textId="777777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0" w:type="auto"/>
            <w:vAlign w:val="center"/>
          </w:tcPr>
          <w:p w14:paraId="13FE8E36" w14:textId="4464E0B1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0" w:type="auto"/>
            <w:noWrap/>
            <w:vAlign w:val="center"/>
            <w:hideMark/>
          </w:tcPr>
          <w:p w14:paraId="27A26B49" w14:textId="5965F5E6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3,802</w:t>
            </w:r>
          </w:p>
        </w:tc>
        <w:tc>
          <w:tcPr>
            <w:tcW w:w="0" w:type="auto"/>
            <w:noWrap/>
            <w:vAlign w:val="center"/>
            <w:hideMark/>
          </w:tcPr>
          <w:p w14:paraId="1CFA95CE" w14:textId="273B84DF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6.7%</w:t>
            </w:r>
          </w:p>
        </w:tc>
      </w:tr>
      <w:tr w:rsidR="002E554D" w:rsidRPr="00726B8C" w14:paraId="77C82905" w14:textId="77777777" w:rsidTr="0089457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F867CA5" w14:textId="777777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0" w:type="auto"/>
            <w:vAlign w:val="center"/>
          </w:tcPr>
          <w:p w14:paraId="5AA1037F" w14:textId="5EE37E53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0" w:type="auto"/>
            <w:noWrap/>
            <w:vAlign w:val="center"/>
            <w:hideMark/>
          </w:tcPr>
          <w:p w14:paraId="6E101898" w14:textId="47B30B26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3,652</w:t>
            </w:r>
          </w:p>
        </w:tc>
        <w:tc>
          <w:tcPr>
            <w:tcW w:w="0" w:type="auto"/>
            <w:noWrap/>
            <w:vAlign w:val="center"/>
            <w:hideMark/>
          </w:tcPr>
          <w:p w14:paraId="7A8C69EA" w14:textId="107A04DC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6.4%</w:t>
            </w:r>
          </w:p>
        </w:tc>
      </w:tr>
    </w:tbl>
    <w:p w14:paraId="2A9E2BD3" w14:textId="77777777" w:rsidR="00586C6E" w:rsidRDefault="00586C6E" w:rsidP="00D95BE1">
      <w:pPr>
        <w:tabs>
          <w:tab w:val="left" w:pos="12616"/>
        </w:tabs>
        <w:rPr>
          <w:rFonts w:eastAsiaTheme="majorEastAsia"/>
          <w:b/>
          <w:color w:val="1481AB" w:themeColor="accent1" w:themeShade="BF"/>
        </w:rPr>
      </w:pPr>
    </w:p>
    <w:p w14:paraId="5FD8EA10" w14:textId="77777777" w:rsidR="00586C6E" w:rsidRDefault="00586C6E">
      <w:pPr>
        <w:rPr>
          <w:rFonts w:eastAsiaTheme="majorEastAsia"/>
          <w:b/>
          <w:color w:val="1481AB" w:themeColor="accent1" w:themeShade="BF"/>
        </w:rPr>
      </w:pPr>
      <w:r>
        <w:rPr>
          <w:rFonts w:eastAsiaTheme="majorEastAsia"/>
          <w:b/>
          <w:color w:val="1481AB" w:themeColor="accent1" w:themeShade="BF"/>
        </w:rPr>
        <w:br w:type="page"/>
      </w:r>
    </w:p>
    <w:p w14:paraId="1D44B48D" w14:textId="1F985536" w:rsidR="00D95BE1" w:rsidRPr="00513D9F" w:rsidRDefault="00D95BE1" w:rsidP="00586C6E">
      <w:pPr>
        <w:pStyle w:val="Heading2"/>
      </w:pPr>
      <w:r w:rsidRPr="00513D9F">
        <w:lastRenderedPageBreak/>
        <w:t>Social Welfare Queries</w:t>
      </w:r>
    </w:p>
    <w:p w14:paraId="2082371C" w14:textId="77777777" w:rsidR="00AF4F4C" w:rsidRDefault="00926F6D" w:rsidP="00AF4F4C">
      <w:pPr>
        <w:jc w:val="both"/>
        <w:rPr>
          <w:sz w:val="22"/>
          <w:szCs w:val="22"/>
        </w:rPr>
      </w:pPr>
      <w:r>
        <w:rPr>
          <w:rFonts w:eastAsia="Times New Roman"/>
          <w:bCs/>
          <w:color w:val="000000" w:themeColor="text1"/>
          <w:sz w:val="22"/>
          <w:szCs w:val="22"/>
          <w:lang w:eastAsia="en-IE"/>
        </w:rPr>
        <w:t xml:space="preserve">Social Welfare queries were the </w:t>
      </w:r>
      <w:r w:rsidR="00AF4F4C">
        <w:rPr>
          <w:rFonts w:eastAsia="Times New Roman"/>
          <w:bCs/>
          <w:color w:val="000000" w:themeColor="text1"/>
          <w:sz w:val="22"/>
          <w:szCs w:val="22"/>
          <w:lang w:eastAsia="en-IE"/>
        </w:rPr>
        <w:t xml:space="preserve">highest </w:t>
      </w:r>
      <w:r w:rsidR="00AF4F4C" w:rsidRPr="00726B8C">
        <w:rPr>
          <w:sz w:val="22"/>
          <w:szCs w:val="22"/>
        </w:rPr>
        <w:t xml:space="preserve">query area, representing 45.8% of all queries compared with 46.8% for the same quarter in </w:t>
      </w:r>
      <w:r w:rsidR="00AF4F4C">
        <w:rPr>
          <w:sz w:val="22"/>
          <w:szCs w:val="22"/>
        </w:rPr>
        <w:t>2023</w:t>
      </w:r>
      <w:r w:rsidR="00AF4F4C" w:rsidRPr="00726B8C">
        <w:rPr>
          <w:sz w:val="22"/>
          <w:szCs w:val="22"/>
        </w:rPr>
        <w:t>.</w:t>
      </w:r>
    </w:p>
    <w:p w14:paraId="7DDE0EF8" w14:textId="2C48E5CD" w:rsidR="00BD3429" w:rsidRPr="00726B8C" w:rsidRDefault="00942712" w:rsidP="00462393">
      <w:pPr>
        <w:pStyle w:val="CommentText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eastAsia="Times New Roman" w:cs="Calibri"/>
          <w:bCs/>
          <w:color w:val="000000" w:themeColor="text1"/>
          <w:sz w:val="22"/>
          <w:szCs w:val="22"/>
          <w:lang w:eastAsia="en-IE"/>
        </w:rPr>
        <w:t xml:space="preserve">Extra Social Welfare Benefits; </w:t>
      </w:r>
      <w:r w:rsidRPr="00726B8C">
        <w:rPr>
          <w:rFonts w:eastAsia="Times New Roman" w:cs="Calibri"/>
          <w:bCs/>
          <w:sz w:val="22"/>
          <w:szCs w:val="22"/>
          <w:lang w:eastAsia="en-IE"/>
        </w:rPr>
        <w:t>Disability and Illness</w:t>
      </w:r>
      <w:r w:rsidRPr="00726B8C">
        <w:rPr>
          <w:rFonts w:eastAsia="Times New Roman" w:cs="Calibri"/>
          <w:bCs/>
          <w:color w:val="000000" w:themeColor="text1"/>
          <w:sz w:val="22"/>
          <w:szCs w:val="22"/>
          <w:lang w:eastAsia="en-IE"/>
        </w:rPr>
        <w:t xml:space="preserve">; </w:t>
      </w:r>
      <w:r w:rsidR="00921CC3" w:rsidRPr="00726B8C">
        <w:rPr>
          <w:rFonts w:eastAsia="Times New Roman" w:cs="Calibri"/>
          <w:bCs/>
          <w:color w:val="000000" w:themeColor="text1"/>
          <w:sz w:val="22"/>
          <w:szCs w:val="22"/>
          <w:lang w:eastAsia="en-IE"/>
        </w:rPr>
        <w:t>Older and Retired People</w:t>
      </w:r>
      <w:r w:rsidR="00586C6E">
        <w:rPr>
          <w:rFonts w:eastAsia="Times New Roman" w:cs="Calibri"/>
          <w:bCs/>
          <w:color w:val="000000" w:themeColor="text1"/>
          <w:sz w:val="22"/>
          <w:szCs w:val="22"/>
          <w:lang w:eastAsia="en-IE"/>
        </w:rPr>
        <w:t>;</w:t>
      </w:r>
      <w:r w:rsidR="00921CC3" w:rsidRPr="00726B8C">
        <w:rPr>
          <w:rFonts w:eastAsia="Times New Roman" w:cs="Calibri"/>
          <w:bCs/>
          <w:color w:val="000000" w:themeColor="text1"/>
          <w:sz w:val="22"/>
          <w:szCs w:val="22"/>
          <w:lang w:eastAsia="en-IE"/>
        </w:rPr>
        <w:t xml:space="preserve"> and</w:t>
      </w:r>
      <w:r w:rsidR="008719F9">
        <w:rPr>
          <w:rFonts w:eastAsia="Times New Roman" w:cs="Calibri"/>
          <w:bCs/>
          <w:color w:val="000000" w:themeColor="text1"/>
          <w:sz w:val="22"/>
          <w:szCs w:val="22"/>
          <w:lang w:eastAsia="en-IE"/>
        </w:rPr>
        <w:t xml:space="preserve"> F</w:t>
      </w:r>
      <w:r w:rsidRPr="00726B8C">
        <w:rPr>
          <w:rFonts w:eastAsia="Times New Roman" w:cs="Calibri"/>
          <w:bCs/>
          <w:color w:val="000000" w:themeColor="text1"/>
          <w:sz w:val="22"/>
          <w:szCs w:val="22"/>
          <w:lang w:eastAsia="en-IE"/>
        </w:rPr>
        <w:t>amilies and Children</w:t>
      </w:r>
      <w:r w:rsidR="007874A5" w:rsidRPr="00726B8C">
        <w:rPr>
          <w:rFonts w:eastAsia="Times New Roman" w:cs="Calibri"/>
          <w:bCs/>
          <w:color w:val="000000" w:themeColor="text1"/>
          <w:sz w:val="22"/>
          <w:szCs w:val="22"/>
          <w:lang w:eastAsia="en-IE"/>
        </w:rPr>
        <w:t xml:space="preserve"> were the most queried sub-categories and accounted for </w:t>
      </w:r>
      <w:r w:rsidR="00234402" w:rsidRPr="00726B8C">
        <w:rPr>
          <w:rFonts w:eastAsia="Times New Roman" w:cs="Calibri"/>
          <w:bCs/>
          <w:color w:val="000000" w:themeColor="text1"/>
          <w:sz w:val="22"/>
          <w:szCs w:val="22"/>
          <w:lang w:eastAsia="en-IE"/>
        </w:rPr>
        <w:t>55.3% of all social welfare queries</w:t>
      </w:r>
      <w:r w:rsidRPr="00726B8C">
        <w:rPr>
          <w:rFonts w:eastAsia="Times New Roman" w:cs="Calibri"/>
          <w:bCs/>
          <w:sz w:val="22"/>
          <w:szCs w:val="22"/>
          <w:lang w:eastAsia="en-IE"/>
        </w:rPr>
        <w:t>.</w:t>
      </w:r>
    </w:p>
    <w:p w14:paraId="549CA84E" w14:textId="62FCA4B3" w:rsidR="008719F9" w:rsidRPr="008719F9" w:rsidRDefault="00942712" w:rsidP="00851A5C">
      <w:pPr>
        <w:pStyle w:val="CommentText"/>
        <w:numPr>
          <w:ilvl w:val="0"/>
          <w:numId w:val="12"/>
        </w:numPr>
        <w:spacing w:after="0"/>
        <w:jc w:val="both"/>
        <w:rPr>
          <w:rFonts w:cs="Calibri"/>
          <w:color w:val="000000" w:themeColor="text1"/>
          <w:sz w:val="22"/>
          <w:szCs w:val="22"/>
        </w:rPr>
      </w:pPr>
      <w:r w:rsidRPr="00726B8C">
        <w:rPr>
          <w:rFonts w:cs="Calibri"/>
          <w:b/>
          <w:sz w:val="22"/>
          <w:szCs w:val="22"/>
        </w:rPr>
        <w:t xml:space="preserve">Extra Social Welfare Benefits </w:t>
      </w:r>
      <w:r w:rsidRPr="00726B8C">
        <w:rPr>
          <w:rFonts w:cs="Calibri"/>
          <w:sz w:val="22"/>
          <w:szCs w:val="22"/>
        </w:rPr>
        <w:t>was the highest sub-category under Social Welfare with</w:t>
      </w:r>
      <w:r w:rsidR="00B913EE" w:rsidRPr="00726B8C">
        <w:rPr>
          <w:rFonts w:cs="Calibri"/>
          <w:sz w:val="22"/>
          <w:szCs w:val="22"/>
        </w:rPr>
        <w:t xml:space="preserve"> 14,705 </w:t>
      </w:r>
      <w:r w:rsidR="00816342" w:rsidRPr="00726B8C">
        <w:rPr>
          <w:rFonts w:cs="Calibri"/>
          <w:sz w:val="22"/>
          <w:szCs w:val="22"/>
        </w:rPr>
        <w:t>queries</w:t>
      </w:r>
      <w:r w:rsidR="00586C6E">
        <w:rPr>
          <w:rFonts w:cs="Calibri"/>
          <w:sz w:val="22"/>
          <w:szCs w:val="22"/>
        </w:rPr>
        <w:t>;</w:t>
      </w:r>
      <w:r w:rsidR="00816342" w:rsidRPr="00726B8C">
        <w:rPr>
          <w:rFonts w:cs="Calibri"/>
          <w:sz w:val="22"/>
          <w:szCs w:val="22"/>
        </w:rPr>
        <w:t xml:space="preserve"> there was a 7.8% </w:t>
      </w:r>
      <w:r w:rsidR="008955C4" w:rsidRPr="00726B8C">
        <w:rPr>
          <w:rFonts w:cs="Calibri"/>
          <w:sz w:val="22"/>
          <w:szCs w:val="22"/>
        </w:rPr>
        <w:t>decrease in query numbers in this area.</w:t>
      </w:r>
      <w:r w:rsidR="000B641A" w:rsidRPr="00726B8C">
        <w:rPr>
          <w:rFonts w:cs="Calibri"/>
          <w:sz w:val="22"/>
          <w:szCs w:val="22"/>
        </w:rPr>
        <w:t xml:space="preserve"> </w:t>
      </w:r>
    </w:p>
    <w:p w14:paraId="0328ED1E" w14:textId="04CBE22A" w:rsidR="008719F9" w:rsidRPr="008719F9" w:rsidRDefault="000B641A" w:rsidP="00F0552E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color w:val="000000" w:themeColor="text1"/>
          <w:sz w:val="22"/>
          <w:szCs w:val="22"/>
        </w:rPr>
      </w:pPr>
      <w:r w:rsidRPr="00726B8C">
        <w:rPr>
          <w:rFonts w:cs="Calibri"/>
          <w:sz w:val="22"/>
          <w:szCs w:val="22"/>
        </w:rPr>
        <w:t>Fuel Allowance declined by 8.5</w:t>
      </w:r>
      <w:r w:rsidR="002B351A" w:rsidRPr="00726B8C">
        <w:rPr>
          <w:rFonts w:cs="Calibri"/>
          <w:sz w:val="22"/>
          <w:szCs w:val="22"/>
        </w:rPr>
        <w:t>%</w:t>
      </w:r>
      <w:r w:rsidR="002B351A">
        <w:rPr>
          <w:rFonts w:cs="Calibri"/>
          <w:sz w:val="22"/>
          <w:szCs w:val="22"/>
        </w:rPr>
        <w:t xml:space="preserve"> (</w:t>
      </w:r>
      <w:r w:rsidR="0026771C">
        <w:rPr>
          <w:rFonts w:cs="Calibri"/>
          <w:sz w:val="22"/>
          <w:szCs w:val="22"/>
        </w:rPr>
        <w:t>6,556)</w:t>
      </w:r>
      <w:r w:rsidR="008719F9">
        <w:rPr>
          <w:rFonts w:cs="Calibri"/>
          <w:sz w:val="22"/>
          <w:szCs w:val="22"/>
        </w:rPr>
        <w:t>.</w:t>
      </w:r>
    </w:p>
    <w:p w14:paraId="03F28744" w14:textId="2D8C3F3E" w:rsidR="008719F9" w:rsidRPr="008719F9" w:rsidRDefault="000B641A" w:rsidP="00F0552E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color w:val="000000" w:themeColor="text1"/>
          <w:sz w:val="22"/>
          <w:szCs w:val="22"/>
        </w:rPr>
      </w:pPr>
      <w:r w:rsidRPr="00726B8C">
        <w:rPr>
          <w:rFonts w:cs="Calibri"/>
          <w:sz w:val="22"/>
          <w:szCs w:val="22"/>
        </w:rPr>
        <w:t>Household Benefits Package dropped by 5%</w:t>
      </w:r>
      <w:r w:rsidR="003A4C7E">
        <w:rPr>
          <w:rFonts w:cs="Calibri"/>
          <w:sz w:val="22"/>
          <w:szCs w:val="22"/>
        </w:rPr>
        <w:t xml:space="preserve"> (4,411)</w:t>
      </w:r>
      <w:r w:rsidR="008719F9">
        <w:rPr>
          <w:rFonts w:cs="Calibri"/>
          <w:sz w:val="22"/>
          <w:szCs w:val="22"/>
        </w:rPr>
        <w:t>.</w:t>
      </w:r>
      <w:r w:rsidRPr="00726B8C">
        <w:rPr>
          <w:rFonts w:cs="Calibri"/>
          <w:sz w:val="22"/>
          <w:szCs w:val="22"/>
        </w:rPr>
        <w:t xml:space="preserve"> </w:t>
      </w:r>
    </w:p>
    <w:p w14:paraId="392AF862" w14:textId="541D527E" w:rsidR="00B913EE" w:rsidRPr="00462393" w:rsidRDefault="000B641A" w:rsidP="00F0552E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color w:val="000000" w:themeColor="text1"/>
          <w:sz w:val="22"/>
          <w:szCs w:val="22"/>
        </w:rPr>
      </w:pPr>
      <w:r w:rsidRPr="00726B8C">
        <w:rPr>
          <w:rFonts w:cs="Calibri"/>
          <w:sz w:val="22"/>
          <w:szCs w:val="22"/>
        </w:rPr>
        <w:t xml:space="preserve">Free Travel (Travel Card, Companion Card, etc) declined by </w:t>
      </w:r>
      <w:r w:rsidR="00C1104E" w:rsidRPr="00726B8C">
        <w:rPr>
          <w:rFonts w:cs="Calibri"/>
          <w:sz w:val="22"/>
          <w:szCs w:val="22"/>
        </w:rPr>
        <w:t>15.7%</w:t>
      </w:r>
      <w:r w:rsidR="003A4C7E">
        <w:rPr>
          <w:rFonts w:cs="Calibri"/>
          <w:sz w:val="22"/>
          <w:szCs w:val="22"/>
        </w:rPr>
        <w:t xml:space="preserve"> (1762)</w:t>
      </w:r>
      <w:r w:rsidR="00C1104E" w:rsidRPr="00726B8C">
        <w:rPr>
          <w:rFonts w:cs="Calibri"/>
          <w:sz w:val="22"/>
          <w:szCs w:val="22"/>
        </w:rPr>
        <w:t>.</w:t>
      </w:r>
    </w:p>
    <w:p w14:paraId="6B879AD8" w14:textId="77777777" w:rsidR="00462393" w:rsidRPr="00726B8C" w:rsidRDefault="00462393" w:rsidP="00462393">
      <w:pPr>
        <w:pStyle w:val="CommentText"/>
        <w:spacing w:after="0"/>
        <w:ind w:left="1440"/>
        <w:jc w:val="both"/>
        <w:rPr>
          <w:rFonts w:cs="Calibri"/>
          <w:color w:val="000000" w:themeColor="text1"/>
          <w:sz w:val="22"/>
          <w:szCs w:val="22"/>
        </w:rPr>
      </w:pPr>
    </w:p>
    <w:p w14:paraId="1B4B4965" w14:textId="77777777" w:rsidR="008719F9" w:rsidRPr="008719F9" w:rsidRDefault="00A95064" w:rsidP="00851A5C">
      <w:pPr>
        <w:pStyle w:val="CommentText"/>
        <w:numPr>
          <w:ilvl w:val="0"/>
          <w:numId w:val="12"/>
        </w:numPr>
        <w:spacing w:after="0"/>
        <w:jc w:val="both"/>
        <w:rPr>
          <w:rFonts w:cs="Calibri"/>
          <w:color w:val="000000" w:themeColor="text1"/>
          <w:sz w:val="22"/>
          <w:szCs w:val="22"/>
        </w:rPr>
      </w:pPr>
      <w:r w:rsidRPr="00726B8C">
        <w:rPr>
          <w:rFonts w:cs="Calibri"/>
          <w:b/>
          <w:sz w:val="22"/>
          <w:szCs w:val="22"/>
        </w:rPr>
        <w:t>Disability</w:t>
      </w:r>
      <w:r w:rsidR="00037DDC" w:rsidRPr="00726B8C">
        <w:rPr>
          <w:rFonts w:cs="Calibri"/>
          <w:b/>
          <w:sz w:val="22"/>
          <w:szCs w:val="22"/>
        </w:rPr>
        <w:t xml:space="preserve"> and Illness </w:t>
      </w:r>
      <w:r w:rsidR="00037DDC" w:rsidRPr="00726B8C">
        <w:rPr>
          <w:rFonts w:cs="Calibri"/>
          <w:bCs/>
          <w:sz w:val="22"/>
          <w:szCs w:val="22"/>
        </w:rPr>
        <w:t xml:space="preserve">queries </w:t>
      </w:r>
      <w:r w:rsidRPr="00726B8C">
        <w:rPr>
          <w:rFonts w:cs="Calibri"/>
          <w:bCs/>
          <w:sz w:val="22"/>
          <w:szCs w:val="22"/>
        </w:rPr>
        <w:t>fell by 9.2%</w:t>
      </w:r>
      <w:r w:rsidR="002B351A">
        <w:rPr>
          <w:rFonts w:cs="Calibri"/>
          <w:bCs/>
          <w:sz w:val="22"/>
          <w:szCs w:val="22"/>
        </w:rPr>
        <w:t xml:space="preserve"> (13,540)</w:t>
      </w:r>
      <w:r w:rsidRPr="00726B8C">
        <w:rPr>
          <w:rFonts w:cs="Calibri"/>
          <w:bCs/>
          <w:sz w:val="22"/>
          <w:szCs w:val="22"/>
        </w:rPr>
        <w:t>.</w:t>
      </w:r>
      <w:r w:rsidR="00153593" w:rsidRPr="00726B8C">
        <w:rPr>
          <w:rFonts w:cs="Calibri"/>
          <w:bCs/>
          <w:sz w:val="22"/>
          <w:szCs w:val="22"/>
        </w:rPr>
        <w:t xml:space="preserve"> </w:t>
      </w:r>
    </w:p>
    <w:p w14:paraId="125996C0" w14:textId="77777777" w:rsidR="008719F9" w:rsidRPr="008719F9" w:rsidRDefault="00153593" w:rsidP="00F0552E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color w:val="000000" w:themeColor="text1"/>
          <w:sz w:val="22"/>
          <w:szCs w:val="22"/>
        </w:rPr>
      </w:pPr>
      <w:r w:rsidRPr="00726B8C">
        <w:rPr>
          <w:rFonts w:cs="Calibri"/>
          <w:bCs/>
          <w:sz w:val="22"/>
          <w:szCs w:val="22"/>
        </w:rPr>
        <w:t>Disability Allowance decreased by 4.5%</w:t>
      </w:r>
      <w:r w:rsidR="002B351A">
        <w:rPr>
          <w:rFonts w:cs="Calibri"/>
          <w:bCs/>
          <w:sz w:val="22"/>
          <w:szCs w:val="22"/>
        </w:rPr>
        <w:t xml:space="preserve"> (6,744)</w:t>
      </w:r>
      <w:r w:rsidR="00B84B7A" w:rsidRPr="00726B8C">
        <w:rPr>
          <w:rFonts w:cs="Calibri"/>
          <w:bCs/>
          <w:sz w:val="22"/>
          <w:szCs w:val="22"/>
        </w:rPr>
        <w:t xml:space="preserve">. </w:t>
      </w:r>
    </w:p>
    <w:p w14:paraId="10797EE0" w14:textId="77777777" w:rsidR="008719F9" w:rsidRPr="008719F9" w:rsidRDefault="00B84B7A" w:rsidP="00F0552E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color w:val="000000" w:themeColor="text1"/>
          <w:sz w:val="22"/>
          <w:szCs w:val="22"/>
        </w:rPr>
      </w:pPr>
      <w:r w:rsidRPr="008719F9">
        <w:rPr>
          <w:rFonts w:cs="Calibri"/>
          <w:bCs/>
          <w:sz w:val="22"/>
          <w:szCs w:val="22"/>
        </w:rPr>
        <w:t xml:space="preserve">Illness Benefits dropped by 16.3% </w:t>
      </w:r>
      <w:r w:rsidR="00CE145A" w:rsidRPr="008719F9">
        <w:rPr>
          <w:rFonts w:cs="Calibri"/>
          <w:bCs/>
          <w:sz w:val="22"/>
          <w:szCs w:val="22"/>
        </w:rPr>
        <w:t>(3,219)</w:t>
      </w:r>
      <w:r w:rsidR="008719F9">
        <w:rPr>
          <w:rFonts w:cs="Calibri"/>
          <w:bCs/>
          <w:sz w:val="22"/>
          <w:szCs w:val="22"/>
        </w:rPr>
        <w:t>.</w:t>
      </w:r>
    </w:p>
    <w:p w14:paraId="7D1A1C4A" w14:textId="376DF5BF" w:rsidR="00C1104E" w:rsidRPr="00462393" w:rsidRDefault="00B84B7A" w:rsidP="00F0552E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color w:val="000000" w:themeColor="text1"/>
          <w:sz w:val="22"/>
          <w:szCs w:val="22"/>
        </w:rPr>
      </w:pPr>
      <w:r w:rsidRPr="008719F9">
        <w:rPr>
          <w:rFonts w:cs="Calibri"/>
          <w:bCs/>
          <w:sz w:val="22"/>
          <w:szCs w:val="22"/>
        </w:rPr>
        <w:t xml:space="preserve">Invalidity </w:t>
      </w:r>
      <w:r w:rsidR="008719F9" w:rsidRPr="008719F9">
        <w:rPr>
          <w:rFonts w:cs="Calibri"/>
          <w:bCs/>
          <w:sz w:val="22"/>
          <w:szCs w:val="22"/>
        </w:rPr>
        <w:t>P</w:t>
      </w:r>
      <w:r w:rsidRPr="008719F9">
        <w:rPr>
          <w:rFonts w:cs="Calibri"/>
          <w:bCs/>
          <w:sz w:val="22"/>
          <w:szCs w:val="22"/>
        </w:rPr>
        <w:t>ension dropped by 10.8%</w:t>
      </w:r>
      <w:r w:rsidR="00CE145A" w:rsidRPr="008719F9">
        <w:rPr>
          <w:rFonts w:cs="Calibri"/>
          <w:bCs/>
          <w:sz w:val="22"/>
          <w:szCs w:val="22"/>
        </w:rPr>
        <w:t xml:space="preserve"> (2,638)</w:t>
      </w:r>
      <w:r w:rsidRPr="008719F9">
        <w:rPr>
          <w:rFonts w:cs="Calibri"/>
          <w:bCs/>
          <w:sz w:val="22"/>
          <w:szCs w:val="22"/>
        </w:rPr>
        <w:t>.</w:t>
      </w:r>
      <w:r w:rsidR="002D394B" w:rsidRPr="008719F9">
        <w:rPr>
          <w:rFonts w:cs="Calibri"/>
          <w:bCs/>
          <w:sz w:val="22"/>
          <w:szCs w:val="22"/>
        </w:rPr>
        <w:t xml:space="preserve"> </w:t>
      </w:r>
    </w:p>
    <w:p w14:paraId="2710249D" w14:textId="77777777" w:rsidR="00462393" w:rsidRPr="008719F9" w:rsidRDefault="00462393" w:rsidP="00462393">
      <w:pPr>
        <w:pStyle w:val="CommentText"/>
        <w:spacing w:after="0"/>
        <w:ind w:left="1440"/>
        <w:jc w:val="both"/>
        <w:rPr>
          <w:rFonts w:cs="Calibri"/>
          <w:color w:val="000000" w:themeColor="text1"/>
          <w:sz w:val="22"/>
          <w:szCs w:val="22"/>
        </w:rPr>
      </w:pPr>
    </w:p>
    <w:p w14:paraId="7CC5FBA1" w14:textId="77777777" w:rsidR="008719F9" w:rsidRPr="008719F9" w:rsidRDefault="00E54495" w:rsidP="00851A5C">
      <w:pPr>
        <w:pStyle w:val="CommentText"/>
        <w:numPr>
          <w:ilvl w:val="0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/>
          <w:sz w:val="22"/>
          <w:szCs w:val="22"/>
        </w:rPr>
        <w:t xml:space="preserve">Older and Retired People </w:t>
      </w:r>
      <w:r w:rsidRPr="00726B8C">
        <w:rPr>
          <w:rFonts w:cs="Calibri"/>
          <w:bCs/>
          <w:sz w:val="22"/>
          <w:szCs w:val="22"/>
        </w:rPr>
        <w:t xml:space="preserve">queries </w:t>
      </w:r>
      <w:r w:rsidR="00C975C6" w:rsidRPr="00726B8C">
        <w:rPr>
          <w:rFonts w:cs="Calibri"/>
          <w:bCs/>
          <w:sz w:val="22"/>
          <w:szCs w:val="22"/>
        </w:rPr>
        <w:t>remained at a similar level</w:t>
      </w:r>
      <w:r w:rsidR="00470A15">
        <w:rPr>
          <w:rFonts w:cs="Calibri"/>
          <w:bCs/>
          <w:sz w:val="22"/>
          <w:szCs w:val="22"/>
        </w:rPr>
        <w:t xml:space="preserve"> (11,794)</w:t>
      </w:r>
      <w:r w:rsidR="00483D8D" w:rsidRPr="00726B8C">
        <w:rPr>
          <w:rFonts w:cs="Calibri"/>
          <w:bCs/>
          <w:sz w:val="22"/>
          <w:szCs w:val="22"/>
        </w:rPr>
        <w:t xml:space="preserve">. </w:t>
      </w:r>
    </w:p>
    <w:p w14:paraId="62E29713" w14:textId="77777777" w:rsidR="008719F9" w:rsidRPr="008719F9" w:rsidRDefault="00483D8D" w:rsidP="00851A5C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Cs/>
          <w:sz w:val="22"/>
          <w:szCs w:val="22"/>
        </w:rPr>
        <w:t>State Pension</w:t>
      </w:r>
      <w:r w:rsidR="008D5CA8" w:rsidRPr="00726B8C">
        <w:rPr>
          <w:rFonts w:cs="Calibri"/>
          <w:bCs/>
          <w:sz w:val="22"/>
          <w:szCs w:val="22"/>
        </w:rPr>
        <w:t>/ Contributory decreased by 6.8%</w:t>
      </w:r>
      <w:r w:rsidR="00A263C7">
        <w:rPr>
          <w:rFonts w:cs="Calibri"/>
          <w:bCs/>
          <w:sz w:val="22"/>
          <w:szCs w:val="22"/>
        </w:rPr>
        <w:t xml:space="preserve"> (6,272)</w:t>
      </w:r>
      <w:r w:rsidR="00BC6C5B" w:rsidRPr="00726B8C">
        <w:rPr>
          <w:rFonts w:cs="Calibri"/>
          <w:bCs/>
          <w:sz w:val="22"/>
          <w:szCs w:val="22"/>
        </w:rPr>
        <w:t xml:space="preserve">. </w:t>
      </w:r>
    </w:p>
    <w:p w14:paraId="5EB47544" w14:textId="77777777" w:rsidR="008719F9" w:rsidRPr="008719F9" w:rsidRDefault="00BC6C5B" w:rsidP="00F40C30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Cs/>
          <w:sz w:val="22"/>
          <w:szCs w:val="22"/>
        </w:rPr>
        <w:t xml:space="preserve">State Pension/ </w:t>
      </w:r>
      <w:r w:rsidR="00523D7B" w:rsidRPr="00726B8C">
        <w:rPr>
          <w:rFonts w:cs="Calibri"/>
          <w:bCs/>
          <w:sz w:val="22"/>
          <w:szCs w:val="22"/>
        </w:rPr>
        <w:t>Non-Contributory</w:t>
      </w:r>
      <w:r w:rsidRPr="00726B8C">
        <w:rPr>
          <w:rFonts w:cs="Calibri"/>
          <w:bCs/>
          <w:sz w:val="22"/>
          <w:szCs w:val="22"/>
        </w:rPr>
        <w:t xml:space="preserve"> Pension decreased by 2.5%</w:t>
      </w:r>
      <w:r w:rsidR="00A263C7">
        <w:rPr>
          <w:rFonts w:cs="Calibri"/>
          <w:bCs/>
          <w:sz w:val="22"/>
          <w:szCs w:val="22"/>
        </w:rPr>
        <w:t xml:space="preserve"> (2,821)</w:t>
      </w:r>
      <w:r w:rsidRPr="00726B8C">
        <w:rPr>
          <w:rFonts w:cs="Calibri"/>
          <w:bCs/>
          <w:sz w:val="22"/>
          <w:szCs w:val="22"/>
        </w:rPr>
        <w:t>.</w:t>
      </w:r>
    </w:p>
    <w:p w14:paraId="78FFAB5A" w14:textId="4A035992" w:rsidR="00E54495" w:rsidRPr="00462393" w:rsidRDefault="00523D7B" w:rsidP="00F40C30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Cs/>
          <w:sz w:val="22"/>
          <w:szCs w:val="22"/>
        </w:rPr>
        <w:t>Payment for people who retire at 65 queries increased by 18.8%</w:t>
      </w:r>
      <w:r w:rsidR="00A263C7">
        <w:rPr>
          <w:rFonts w:cs="Calibri"/>
          <w:bCs/>
          <w:sz w:val="22"/>
          <w:szCs w:val="22"/>
        </w:rPr>
        <w:t xml:space="preserve"> (827)</w:t>
      </w:r>
      <w:r w:rsidRPr="00726B8C">
        <w:rPr>
          <w:rFonts w:cs="Calibri"/>
          <w:bCs/>
          <w:sz w:val="22"/>
          <w:szCs w:val="22"/>
        </w:rPr>
        <w:t>.</w:t>
      </w:r>
    </w:p>
    <w:p w14:paraId="4B145E87" w14:textId="77777777" w:rsidR="00462393" w:rsidRPr="00726B8C" w:rsidRDefault="00462393" w:rsidP="00462393">
      <w:pPr>
        <w:pStyle w:val="CommentText"/>
        <w:spacing w:after="0"/>
        <w:ind w:left="1440"/>
        <w:jc w:val="both"/>
        <w:rPr>
          <w:rFonts w:cs="Calibri"/>
          <w:bCs/>
          <w:color w:val="000000" w:themeColor="text1"/>
          <w:sz w:val="22"/>
          <w:szCs w:val="22"/>
        </w:rPr>
      </w:pPr>
    </w:p>
    <w:p w14:paraId="7994B752" w14:textId="77777777" w:rsidR="008719F9" w:rsidRPr="008719F9" w:rsidRDefault="003B6D4B" w:rsidP="00381A1A">
      <w:pPr>
        <w:pStyle w:val="CommentText"/>
        <w:numPr>
          <w:ilvl w:val="0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/>
          <w:sz w:val="22"/>
          <w:szCs w:val="22"/>
        </w:rPr>
        <w:t>Families and Children</w:t>
      </w:r>
      <w:r w:rsidR="00263976" w:rsidRPr="00726B8C">
        <w:rPr>
          <w:rFonts w:cs="Calibri"/>
          <w:b/>
          <w:sz w:val="22"/>
          <w:szCs w:val="22"/>
        </w:rPr>
        <w:t xml:space="preserve"> </w:t>
      </w:r>
      <w:r w:rsidR="00263976" w:rsidRPr="00726B8C">
        <w:rPr>
          <w:rFonts w:cs="Calibri"/>
          <w:bCs/>
          <w:sz w:val="22"/>
          <w:szCs w:val="22"/>
        </w:rPr>
        <w:t>decreased by 9.7%</w:t>
      </w:r>
      <w:r w:rsidR="00A7787E">
        <w:rPr>
          <w:rFonts w:cs="Calibri"/>
          <w:bCs/>
          <w:sz w:val="22"/>
          <w:szCs w:val="22"/>
        </w:rPr>
        <w:t xml:space="preserve"> (9,877)</w:t>
      </w:r>
      <w:r w:rsidR="008719F9">
        <w:rPr>
          <w:rFonts w:cs="Calibri"/>
          <w:bCs/>
          <w:sz w:val="22"/>
          <w:szCs w:val="22"/>
        </w:rPr>
        <w:t>.</w:t>
      </w:r>
    </w:p>
    <w:p w14:paraId="313C7E1E" w14:textId="38DFEB8A" w:rsidR="008719F9" w:rsidRPr="008719F9" w:rsidRDefault="008719F9" w:rsidP="00F40C30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>
        <w:rPr>
          <w:rFonts w:cs="Calibri"/>
          <w:bCs/>
          <w:sz w:val="22"/>
          <w:szCs w:val="22"/>
        </w:rPr>
        <w:t>W</w:t>
      </w:r>
      <w:r w:rsidR="00263976" w:rsidRPr="00726B8C">
        <w:rPr>
          <w:rFonts w:cs="Calibri"/>
          <w:bCs/>
          <w:sz w:val="22"/>
          <w:szCs w:val="22"/>
        </w:rPr>
        <w:t xml:space="preserve">orking </w:t>
      </w:r>
      <w:r>
        <w:rPr>
          <w:rFonts w:cs="Calibri"/>
          <w:bCs/>
          <w:sz w:val="22"/>
          <w:szCs w:val="22"/>
        </w:rPr>
        <w:t>F</w:t>
      </w:r>
      <w:r w:rsidR="00263976" w:rsidRPr="00726B8C">
        <w:rPr>
          <w:rFonts w:cs="Calibri"/>
          <w:bCs/>
          <w:sz w:val="22"/>
          <w:szCs w:val="22"/>
        </w:rPr>
        <w:t xml:space="preserve">amily </w:t>
      </w:r>
      <w:r>
        <w:rPr>
          <w:rFonts w:cs="Calibri"/>
          <w:bCs/>
          <w:sz w:val="22"/>
          <w:szCs w:val="22"/>
        </w:rPr>
        <w:t>P</w:t>
      </w:r>
      <w:r w:rsidR="00263976" w:rsidRPr="00726B8C">
        <w:rPr>
          <w:rFonts w:cs="Calibri"/>
          <w:bCs/>
          <w:sz w:val="22"/>
          <w:szCs w:val="22"/>
        </w:rPr>
        <w:t>ayment</w:t>
      </w:r>
      <w:r w:rsidR="00A7787E">
        <w:rPr>
          <w:rFonts w:cs="Calibri"/>
          <w:bCs/>
          <w:sz w:val="22"/>
          <w:szCs w:val="22"/>
        </w:rPr>
        <w:t xml:space="preserve"> (WFP)</w:t>
      </w:r>
      <w:r w:rsidR="00263976" w:rsidRPr="00726B8C">
        <w:rPr>
          <w:rFonts w:cs="Calibri"/>
          <w:bCs/>
          <w:sz w:val="22"/>
          <w:szCs w:val="22"/>
        </w:rPr>
        <w:t xml:space="preserve"> decreased by 10.6%</w:t>
      </w:r>
      <w:r w:rsidR="00A7787E">
        <w:rPr>
          <w:rFonts w:cs="Calibri"/>
          <w:bCs/>
          <w:sz w:val="22"/>
          <w:szCs w:val="22"/>
        </w:rPr>
        <w:t xml:space="preserve"> (3,039)</w:t>
      </w:r>
      <w:r>
        <w:rPr>
          <w:rFonts w:cs="Calibri"/>
          <w:bCs/>
          <w:sz w:val="22"/>
          <w:szCs w:val="22"/>
        </w:rPr>
        <w:t>.</w:t>
      </w:r>
    </w:p>
    <w:p w14:paraId="09929699" w14:textId="0307CBD8" w:rsidR="008719F9" w:rsidRPr="008719F9" w:rsidRDefault="00263976" w:rsidP="00F40C30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Cs/>
          <w:sz w:val="22"/>
          <w:szCs w:val="22"/>
        </w:rPr>
        <w:t xml:space="preserve"> </w:t>
      </w:r>
      <w:r w:rsidR="008719F9">
        <w:rPr>
          <w:rFonts w:cs="Calibri"/>
          <w:bCs/>
          <w:sz w:val="22"/>
          <w:szCs w:val="22"/>
        </w:rPr>
        <w:t>O</w:t>
      </w:r>
      <w:r w:rsidRPr="00726B8C">
        <w:rPr>
          <w:rFonts w:cs="Calibri"/>
          <w:bCs/>
          <w:sz w:val="22"/>
          <w:szCs w:val="22"/>
        </w:rPr>
        <w:t xml:space="preserve">ne </w:t>
      </w:r>
      <w:r w:rsidR="008719F9">
        <w:rPr>
          <w:rFonts w:cs="Calibri"/>
          <w:bCs/>
          <w:sz w:val="22"/>
          <w:szCs w:val="22"/>
        </w:rPr>
        <w:t>P</w:t>
      </w:r>
      <w:r w:rsidRPr="00726B8C">
        <w:rPr>
          <w:rFonts w:cs="Calibri"/>
          <w:bCs/>
          <w:sz w:val="22"/>
          <w:szCs w:val="22"/>
        </w:rPr>
        <w:t xml:space="preserve">arent </w:t>
      </w:r>
      <w:r w:rsidR="008719F9">
        <w:rPr>
          <w:rFonts w:cs="Calibri"/>
          <w:bCs/>
          <w:sz w:val="22"/>
          <w:szCs w:val="22"/>
        </w:rPr>
        <w:t>F</w:t>
      </w:r>
      <w:r w:rsidRPr="00726B8C">
        <w:rPr>
          <w:rFonts w:cs="Calibri"/>
          <w:bCs/>
          <w:sz w:val="22"/>
          <w:szCs w:val="22"/>
        </w:rPr>
        <w:t>amily payment (OFP)</w:t>
      </w:r>
      <w:r w:rsidR="00854DE0" w:rsidRPr="00726B8C">
        <w:rPr>
          <w:rFonts w:cs="Calibri"/>
          <w:bCs/>
          <w:sz w:val="22"/>
          <w:szCs w:val="22"/>
        </w:rPr>
        <w:t xml:space="preserve"> decreased by 9.6%</w:t>
      </w:r>
      <w:r w:rsidR="00A7787E">
        <w:rPr>
          <w:rFonts w:cs="Calibri"/>
          <w:bCs/>
          <w:sz w:val="22"/>
          <w:szCs w:val="22"/>
        </w:rPr>
        <w:t xml:space="preserve"> (1,617)</w:t>
      </w:r>
      <w:r w:rsidR="00DF7046">
        <w:rPr>
          <w:rFonts w:cs="Calibri"/>
          <w:bCs/>
          <w:sz w:val="22"/>
          <w:szCs w:val="22"/>
        </w:rPr>
        <w:t>.</w:t>
      </w:r>
    </w:p>
    <w:p w14:paraId="171D0AC6" w14:textId="0C869086" w:rsidR="008719F9" w:rsidRPr="008719F9" w:rsidRDefault="001E065D" w:rsidP="00F40C30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Cs/>
          <w:sz w:val="22"/>
          <w:szCs w:val="22"/>
        </w:rPr>
        <w:t xml:space="preserve"> </w:t>
      </w:r>
      <w:r w:rsidR="008719F9">
        <w:rPr>
          <w:rFonts w:cs="Calibri"/>
          <w:bCs/>
          <w:sz w:val="22"/>
          <w:szCs w:val="22"/>
        </w:rPr>
        <w:t>C</w:t>
      </w:r>
      <w:r w:rsidRPr="00726B8C">
        <w:rPr>
          <w:rFonts w:cs="Calibri"/>
          <w:bCs/>
          <w:sz w:val="22"/>
          <w:szCs w:val="22"/>
        </w:rPr>
        <w:t xml:space="preserve">hild </w:t>
      </w:r>
      <w:r w:rsidR="008719F9">
        <w:rPr>
          <w:rFonts w:cs="Calibri"/>
          <w:bCs/>
          <w:sz w:val="22"/>
          <w:szCs w:val="22"/>
        </w:rPr>
        <w:t>B</w:t>
      </w:r>
      <w:r w:rsidRPr="00726B8C">
        <w:rPr>
          <w:rFonts w:cs="Calibri"/>
          <w:bCs/>
          <w:sz w:val="22"/>
          <w:szCs w:val="22"/>
        </w:rPr>
        <w:t>enefit declined by 2.2%</w:t>
      </w:r>
      <w:r w:rsidR="00A7787E">
        <w:rPr>
          <w:rFonts w:cs="Calibri"/>
          <w:bCs/>
          <w:sz w:val="22"/>
          <w:szCs w:val="22"/>
        </w:rPr>
        <w:t xml:space="preserve"> (</w:t>
      </w:r>
      <w:r w:rsidR="00864516">
        <w:rPr>
          <w:rFonts w:cs="Calibri"/>
          <w:bCs/>
          <w:sz w:val="22"/>
          <w:szCs w:val="22"/>
        </w:rPr>
        <w:t>1,519)</w:t>
      </w:r>
      <w:r w:rsidR="00DF7046">
        <w:rPr>
          <w:rFonts w:cs="Calibri"/>
          <w:bCs/>
          <w:sz w:val="22"/>
          <w:szCs w:val="22"/>
        </w:rPr>
        <w:t>.</w:t>
      </w:r>
    </w:p>
    <w:p w14:paraId="588E7901" w14:textId="6D505FDE" w:rsidR="003B6D4B" w:rsidRPr="00311358" w:rsidRDefault="001E065D" w:rsidP="00F40C30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Cs/>
          <w:sz w:val="22"/>
          <w:szCs w:val="22"/>
        </w:rPr>
        <w:t xml:space="preserve"> </w:t>
      </w:r>
      <w:r w:rsidR="008719F9">
        <w:rPr>
          <w:rFonts w:cs="Calibri"/>
          <w:bCs/>
          <w:sz w:val="22"/>
          <w:szCs w:val="22"/>
        </w:rPr>
        <w:t>B</w:t>
      </w:r>
      <w:r w:rsidRPr="00726B8C">
        <w:rPr>
          <w:rFonts w:cs="Calibri"/>
          <w:bCs/>
          <w:sz w:val="22"/>
          <w:szCs w:val="22"/>
        </w:rPr>
        <w:t xml:space="preserve">ack to </w:t>
      </w:r>
      <w:r w:rsidR="008719F9">
        <w:rPr>
          <w:rFonts w:cs="Calibri"/>
          <w:bCs/>
          <w:sz w:val="22"/>
          <w:szCs w:val="22"/>
        </w:rPr>
        <w:t>S</w:t>
      </w:r>
      <w:r w:rsidRPr="00726B8C">
        <w:rPr>
          <w:rFonts w:cs="Calibri"/>
          <w:bCs/>
          <w:sz w:val="22"/>
          <w:szCs w:val="22"/>
        </w:rPr>
        <w:t xml:space="preserve">chool </w:t>
      </w:r>
      <w:r w:rsidR="008719F9">
        <w:rPr>
          <w:rFonts w:cs="Calibri"/>
          <w:bCs/>
          <w:sz w:val="22"/>
          <w:szCs w:val="22"/>
        </w:rPr>
        <w:t>C</w:t>
      </w:r>
      <w:r w:rsidRPr="00726B8C">
        <w:rPr>
          <w:rFonts w:cs="Calibri"/>
          <w:bCs/>
          <w:sz w:val="22"/>
          <w:szCs w:val="22"/>
        </w:rPr>
        <w:t xml:space="preserve">lothing and </w:t>
      </w:r>
      <w:r w:rsidR="008719F9">
        <w:rPr>
          <w:rFonts w:cs="Calibri"/>
          <w:bCs/>
          <w:sz w:val="22"/>
          <w:szCs w:val="22"/>
        </w:rPr>
        <w:t>F</w:t>
      </w:r>
      <w:r w:rsidRPr="00726B8C">
        <w:rPr>
          <w:rFonts w:cs="Calibri"/>
          <w:bCs/>
          <w:sz w:val="22"/>
          <w:szCs w:val="22"/>
        </w:rPr>
        <w:t>ootwear allowance decreased by 9%</w:t>
      </w:r>
      <w:r w:rsidR="00864516">
        <w:rPr>
          <w:rFonts w:cs="Calibri"/>
          <w:bCs/>
          <w:sz w:val="22"/>
          <w:szCs w:val="22"/>
        </w:rPr>
        <w:t xml:space="preserve"> (1,476)</w:t>
      </w:r>
      <w:r w:rsidRPr="00726B8C">
        <w:rPr>
          <w:rFonts w:cs="Calibri"/>
          <w:bCs/>
          <w:sz w:val="22"/>
          <w:szCs w:val="22"/>
        </w:rPr>
        <w:t>.</w:t>
      </w:r>
    </w:p>
    <w:p w14:paraId="7F4DADD4" w14:textId="77777777" w:rsidR="00311358" w:rsidRPr="00726B8C" w:rsidRDefault="00311358" w:rsidP="00311358">
      <w:pPr>
        <w:pStyle w:val="CommentText"/>
        <w:spacing w:after="0"/>
        <w:ind w:left="1440"/>
        <w:jc w:val="both"/>
        <w:rPr>
          <w:rFonts w:cs="Calibri"/>
          <w:bCs/>
          <w:color w:val="000000" w:themeColor="text1"/>
          <w:sz w:val="22"/>
          <w:szCs w:val="22"/>
        </w:rPr>
      </w:pPr>
    </w:p>
    <w:p w14:paraId="3C87FDD7" w14:textId="77777777" w:rsidR="008719F9" w:rsidRPr="008719F9" w:rsidRDefault="0050053C" w:rsidP="003725EB">
      <w:pPr>
        <w:pStyle w:val="CommentText"/>
        <w:numPr>
          <w:ilvl w:val="0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/>
          <w:sz w:val="22"/>
          <w:szCs w:val="22"/>
        </w:rPr>
        <w:t xml:space="preserve">Carers queries </w:t>
      </w:r>
      <w:r w:rsidRPr="00E04CE2">
        <w:rPr>
          <w:rFonts w:cs="Calibri"/>
          <w:bCs/>
          <w:sz w:val="22"/>
          <w:szCs w:val="22"/>
        </w:rPr>
        <w:t>decreased by 4.3%</w:t>
      </w:r>
      <w:r w:rsidR="006041D5" w:rsidRPr="00E04CE2">
        <w:rPr>
          <w:rFonts w:cs="Calibri"/>
          <w:bCs/>
          <w:sz w:val="22"/>
          <w:szCs w:val="22"/>
        </w:rPr>
        <w:t xml:space="preserve"> (9,178)</w:t>
      </w:r>
      <w:r w:rsidRPr="00E04CE2">
        <w:rPr>
          <w:rFonts w:cs="Calibri"/>
          <w:bCs/>
          <w:sz w:val="22"/>
          <w:szCs w:val="22"/>
        </w:rPr>
        <w:t>.</w:t>
      </w:r>
      <w:r w:rsidR="00E048EE" w:rsidRPr="00726B8C">
        <w:rPr>
          <w:rFonts w:cs="Calibri"/>
          <w:bCs/>
          <w:sz w:val="22"/>
          <w:szCs w:val="22"/>
        </w:rPr>
        <w:t xml:space="preserve"> </w:t>
      </w:r>
    </w:p>
    <w:p w14:paraId="410B3AB7" w14:textId="77777777" w:rsidR="008719F9" w:rsidRPr="008719F9" w:rsidRDefault="00E048EE" w:rsidP="003725EB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Cs/>
          <w:sz w:val="22"/>
          <w:szCs w:val="22"/>
        </w:rPr>
        <w:t>Carer’s Allowance decreased by 3.2%</w:t>
      </w:r>
      <w:r w:rsidR="006041D5">
        <w:rPr>
          <w:rFonts w:cs="Calibri"/>
          <w:bCs/>
          <w:sz w:val="22"/>
          <w:szCs w:val="22"/>
        </w:rPr>
        <w:t xml:space="preserve"> (5,658)</w:t>
      </w:r>
      <w:r w:rsidR="008719F9">
        <w:rPr>
          <w:rFonts w:cs="Calibri"/>
          <w:bCs/>
          <w:sz w:val="22"/>
          <w:szCs w:val="22"/>
        </w:rPr>
        <w:t>.</w:t>
      </w:r>
      <w:r w:rsidR="000F2D59" w:rsidRPr="00726B8C">
        <w:rPr>
          <w:rFonts w:cs="Calibri"/>
          <w:bCs/>
          <w:sz w:val="22"/>
          <w:szCs w:val="22"/>
        </w:rPr>
        <w:t xml:space="preserve"> </w:t>
      </w:r>
    </w:p>
    <w:p w14:paraId="35ADBA65" w14:textId="77777777" w:rsidR="008719F9" w:rsidRPr="008719F9" w:rsidRDefault="008719F9" w:rsidP="003725EB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>
        <w:rPr>
          <w:rFonts w:cs="Calibri"/>
          <w:bCs/>
          <w:sz w:val="22"/>
          <w:szCs w:val="22"/>
        </w:rPr>
        <w:t>D</w:t>
      </w:r>
      <w:r w:rsidR="000F2D59" w:rsidRPr="00726B8C">
        <w:rPr>
          <w:rFonts w:cs="Calibri"/>
          <w:bCs/>
          <w:sz w:val="22"/>
          <w:szCs w:val="22"/>
        </w:rPr>
        <w:t xml:space="preserve">omiciliary </w:t>
      </w:r>
      <w:r>
        <w:rPr>
          <w:rFonts w:cs="Calibri"/>
          <w:bCs/>
          <w:sz w:val="22"/>
          <w:szCs w:val="22"/>
        </w:rPr>
        <w:t>C</w:t>
      </w:r>
      <w:r w:rsidR="007449F1">
        <w:rPr>
          <w:rFonts w:cs="Calibri"/>
          <w:bCs/>
          <w:sz w:val="22"/>
          <w:szCs w:val="22"/>
        </w:rPr>
        <w:t xml:space="preserve">are </w:t>
      </w:r>
      <w:r>
        <w:rPr>
          <w:rFonts w:cs="Calibri"/>
          <w:bCs/>
          <w:sz w:val="22"/>
          <w:szCs w:val="22"/>
        </w:rPr>
        <w:t>A</w:t>
      </w:r>
      <w:r w:rsidR="007449F1">
        <w:rPr>
          <w:rFonts w:cs="Calibri"/>
          <w:bCs/>
          <w:sz w:val="22"/>
          <w:szCs w:val="22"/>
        </w:rPr>
        <w:t xml:space="preserve">llowance (DCA) </w:t>
      </w:r>
      <w:r w:rsidR="007E2AA0" w:rsidRPr="00726B8C">
        <w:rPr>
          <w:rFonts w:cs="Calibri"/>
          <w:bCs/>
          <w:sz w:val="22"/>
          <w:szCs w:val="22"/>
        </w:rPr>
        <w:t>decreased by 10.3</w:t>
      </w:r>
      <w:r w:rsidR="006C5C7F" w:rsidRPr="00726B8C">
        <w:rPr>
          <w:rFonts w:cs="Calibri"/>
          <w:bCs/>
          <w:sz w:val="22"/>
          <w:szCs w:val="22"/>
        </w:rPr>
        <w:t>%</w:t>
      </w:r>
      <w:r w:rsidR="006C5C7F">
        <w:rPr>
          <w:rFonts w:cs="Calibri"/>
          <w:bCs/>
          <w:sz w:val="22"/>
          <w:szCs w:val="22"/>
        </w:rPr>
        <w:t xml:space="preserve"> (</w:t>
      </w:r>
      <w:r w:rsidR="007449F1">
        <w:rPr>
          <w:rFonts w:cs="Calibri"/>
          <w:bCs/>
          <w:sz w:val="22"/>
          <w:szCs w:val="22"/>
        </w:rPr>
        <w:t>1,063)</w:t>
      </w:r>
      <w:r>
        <w:rPr>
          <w:rFonts w:cs="Calibri"/>
          <w:bCs/>
          <w:sz w:val="22"/>
          <w:szCs w:val="22"/>
        </w:rPr>
        <w:t>.</w:t>
      </w:r>
    </w:p>
    <w:p w14:paraId="4A304E3D" w14:textId="527F3734" w:rsidR="0050053C" w:rsidRPr="00311358" w:rsidRDefault="007E2AA0" w:rsidP="003725EB">
      <w:pPr>
        <w:pStyle w:val="CommentText"/>
        <w:numPr>
          <w:ilvl w:val="1"/>
          <w:numId w:val="12"/>
        </w:numPr>
        <w:spacing w:after="0"/>
        <w:jc w:val="both"/>
        <w:rPr>
          <w:rFonts w:cs="Calibri"/>
          <w:bCs/>
          <w:color w:val="000000" w:themeColor="text1"/>
          <w:sz w:val="22"/>
          <w:szCs w:val="22"/>
        </w:rPr>
      </w:pPr>
      <w:r w:rsidRPr="00726B8C">
        <w:rPr>
          <w:rFonts w:cs="Calibri"/>
          <w:bCs/>
          <w:sz w:val="22"/>
          <w:szCs w:val="22"/>
        </w:rPr>
        <w:t xml:space="preserve"> </w:t>
      </w:r>
      <w:r w:rsidR="008719F9">
        <w:rPr>
          <w:rFonts w:cs="Calibri"/>
          <w:bCs/>
          <w:sz w:val="22"/>
          <w:szCs w:val="22"/>
        </w:rPr>
        <w:t>C</w:t>
      </w:r>
      <w:r w:rsidRPr="00726B8C">
        <w:rPr>
          <w:rFonts w:cs="Calibri"/>
          <w:bCs/>
          <w:sz w:val="22"/>
          <w:szCs w:val="22"/>
        </w:rPr>
        <w:t xml:space="preserve">arer’s </w:t>
      </w:r>
      <w:r w:rsidR="008719F9">
        <w:rPr>
          <w:rFonts w:cs="Calibri"/>
          <w:bCs/>
          <w:sz w:val="22"/>
          <w:szCs w:val="22"/>
        </w:rPr>
        <w:t>B</w:t>
      </w:r>
      <w:r w:rsidRPr="00726B8C">
        <w:rPr>
          <w:rFonts w:cs="Calibri"/>
          <w:bCs/>
          <w:sz w:val="22"/>
          <w:szCs w:val="22"/>
        </w:rPr>
        <w:t>enefit decreased by 5.5%</w:t>
      </w:r>
      <w:r w:rsidR="007449F1">
        <w:rPr>
          <w:rFonts w:cs="Calibri"/>
          <w:bCs/>
          <w:sz w:val="22"/>
          <w:szCs w:val="22"/>
        </w:rPr>
        <w:t xml:space="preserve"> (1,029)</w:t>
      </w:r>
      <w:r w:rsidRPr="00726B8C">
        <w:rPr>
          <w:rFonts w:cs="Calibri"/>
          <w:bCs/>
          <w:sz w:val="22"/>
          <w:szCs w:val="22"/>
        </w:rPr>
        <w:t>.</w:t>
      </w:r>
    </w:p>
    <w:p w14:paraId="019141F9" w14:textId="77777777" w:rsidR="00311358" w:rsidRPr="00726B8C" w:rsidRDefault="00311358" w:rsidP="00311358">
      <w:pPr>
        <w:pStyle w:val="CommentText"/>
        <w:spacing w:after="0"/>
        <w:ind w:left="1440"/>
        <w:jc w:val="both"/>
        <w:rPr>
          <w:rFonts w:cs="Calibri"/>
          <w:bCs/>
          <w:color w:val="000000" w:themeColor="text1"/>
          <w:sz w:val="22"/>
          <w:szCs w:val="22"/>
        </w:rPr>
      </w:pPr>
    </w:p>
    <w:p w14:paraId="581CE786" w14:textId="77777777" w:rsidR="008719F9" w:rsidRPr="008719F9" w:rsidRDefault="00E87C32" w:rsidP="004F75EB">
      <w:pPr>
        <w:pStyle w:val="CommentText"/>
        <w:numPr>
          <w:ilvl w:val="0"/>
          <w:numId w:val="12"/>
        </w:numPr>
        <w:spacing w:after="0"/>
        <w:jc w:val="both"/>
        <w:rPr>
          <w:sz w:val="22"/>
          <w:szCs w:val="22"/>
          <w:u w:val="single"/>
        </w:rPr>
      </w:pPr>
      <w:r w:rsidRPr="00726B8C">
        <w:rPr>
          <w:rFonts w:cs="Calibri"/>
          <w:b/>
          <w:bCs/>
          <w:color w:val="000000" w:themeColor="text1"/>
          <w:sz w:val="22"/>
          <w:szCs w:val="22"/>
        </w:rPr>
        <w:t xml:space="preserve">Supplementary welfare schemes </w:t>
      </w:r>
      <w:r w:rsidRPr="00E04CE2">
        <w:rPr>
          <w:rFonts w:cs="Calibri"/>
          <w:color w:val="000000" w:themeColor="text1"/>
          <w:sz w:val="22"/>
          <w:szCs w:val="22"/>
        </w:rPr>
        <w:t>decreased by</w:t>
      </w:r>
      <w:r w:rsidRPr="00726B8C">
        <w:rPr>
          <w:rFonts w:cs="Calibri"/>
          <w:b/>
          <w:bCs/>
          <w:color w:val="000000" w:themeColor="text1"/>
          <w:sz w:val="22"/>
          <w:szCs w:val="22"/>
        </w:rPr>
        <w:t xml:space="preserve"> </w:t>
      </w:r>
      <w:r w:rsidR="00D10F43" w:rsidRPr="00726B8C">
        <w:rPr>
          <w:rFonts w:cs="Calibri"/>
          <w:color w:val="000000" w:themeColor="text1"/>
          <w:sz w:val="22"/>
          <w:szCs w:val="22"/>
        </w:rPr>
        <w:t>9.7</w:t>
      </w:r>
      <w:r w:rsidRPr="00726B8C">
        <w:rPr>
          <w:rFonts w:cs="Calibri"/>
          <w:color w:val="000000" w:themeColor="text1"/>
          <w:sz w:val="22"/>
          <w:szCs w:val="22"/>
        </w:rPr>
        <w:t>%</w:t>
      </w:r>
      <w:r w:rsidR="006C5C7F">
        <w:rPr>
          <w:rFonts w:cs="Calibri"/>
          <w:color w:val="000000" w:themeColor="text1"/>
          <w:sz w:val="22"/>
          <w:szCs w:val="22"/>
        </w:rPr>
        <w:t xml:space="preserve"> (7,717)</w:t>
      </w:r>
      <w:r w:rsidR="008719F9">
        <w:rPr>
          <w:rFonts w:cs="Calibri"/>
          <w:color w:val="000000" w:themeColor="text1"/>
          <w:sz w:val="22"/>
          <w:szCs w:val="22"/>
        </w:rPr>
        <w:t>.</w:t>
      </w:r>
    </w:p>
    <w:p w14:paraId="54895108" w14:textId="17E9EF51" w:rsidR="008719F9" w:rsidRPr="008719F9" w:rsidRDefault="008719F9" w:rsidP="00565494">
      <w:pPr>
        <w:pStyle w:val="CommentText"/>
        <w:numPr>
          <w:ilvl w:val="1"/>
          <w:numId w:val="12"/>
        </w:numPr>
        <w:spacing w:after="0"/>
        <w:jc w:val="both"/>
        <w:rPr>
          <w:sz w:val="22"/>
          <w:szCs w:val="22"/>
          <w:u w:val="single"/>
        </w:rPr>
      </w:pPr>
      <w:r>
        <w:rPr>
          <w:rFonts w:cs="Calibri"/>
          <w:color w:val="000000" w:themeColor="text1"/>
          <w:sz w:val="22"/>
          <w:szCs w:val="22"/>
        </w:rPr>
        <w:t>B</w:t>
      </w:r>
      <w:r w:rsidR="00D10F43" w:rsidRPr="00726B8C">
        <w:rPr>
          <w:rFonts w:cs="Calibri"/>
          <w:color w:val="000000" w:themeColor="text1"/>
          <w:sz w:val="22"/>
          <w:szCs w:val="22"/>
        </w:rPr>
        <w:t xml:space="preserve">asic </w:t>
      </w:r>
      <w:r>
        <w:rPr>
          <w:rFonts w:cs="Calibri"/>
          <w:color w:val="000000" w:themeColor="text1"/>
          <w:sz w:val="22"/>
          <w:szCs w:val="22"/>
        </w:rPr>
        <w:t>S</w:t>
      </w:r>
      <w:r w:rsidR="00D10F43" w:rsidRPr="00726B8C">
        <w:rPr>
          <w:rFonts w:cs="Calibri"/>
          <w:color w:val="000000" w:themeColor="text1"/>
          <w:sz w:val="22"/>
          <w:szCs w:val="22"/>
        </w:rPr>
        <w:t>upplementary</w:t>
      </w:r>
      <w:r w:rsidR="0020070F" w:rsidRPr="00726B8C">
        <w:rPr>
          <w:rFonts w:cs="Calibri"/>
          <w:color w:val="000000" w:themeColor="text1"/>
          <w:sz w:val="22"/>
          <w:szCs w:val="22"/>
        </w:rPr>
        <w:t xml:space="preserve"> </w:t>
      </w:r>
      <w:r>
        <w:rPr>
          <w:rFonts w:cs="Calibri"/>
          <w:color w:val="000000" w:themeColor="text1"/>
          <w:sz w:val="22"/>
          <w:szCs w:val="22"/>
        </w:rPr>
        <w:t>W</w:t>
      </w:r>
      <w:r w:rsidR="0020070F" w:rsidRPr="00726B8C">
        <w:rPr>
          <w:rFonts w:cs="Calibri"/>
          <w:color w:val="000000" w:themeColor="text1"/>
          <w:sz w:val="22"/>
          <w:szCs w:val="22"/>
        </w:rPr>
        <w:t xml:space="preserve">elfare </w:t>
      </w:r>
      <w:r>
        <w:rPr>
          <w:rFonts w:cs="Calibri"/>
          <w:color w:val="000000" w:themeColor="text1"/>
          <w:sz w:val="22"/>
          <w:szCs w:val="22"/>
        </w:rPr>
        <w:t>A</w:t>
      </w:r>
      <w:r w:rsidR="0020070F" w:rsidRPr="00726B8C">
        <w:rPr>
          <w:rFonts w:cs="Calibri"/>
          <w:color w:val="000000" w:themeColor="text1"/>
          <w:sz w:val="22"/>
          <w:szCs w:val="22"/>
        </w:rPr>
        <w:t>llowance declined by 1.3%</w:t>
      </w:r>
      <w:r w:rsidR="006C5C7F">
        <w:rPr>
          <w:rFonts w:cs="Calibri"/>
          <w:color w:val="000000" w:themeColor="text1"/>
          <w:sz w:val="22"/>
          <w:szCs w:val="22"/>
        </w:rPr>
        <w:t xml:space="preserve"> (3,802)</w:t>
      </w:r>
      <w:r w:rsidR="00DF7046">
        <w:rPr>
          <w:rFonts w:cs="Calibri"/>
          <w:color w:val="000000" w:themeColor="text1"/>
          <w:sz w:val="22"/>
          <w:szCs w:val="22"/>
        </w:rPr>
        <w:t>.</w:t>
      </w:r>
    </w:p>
    <w:p w14:paraId="4416D5F6" w14:textId="77777777" w:rsidR="008719F9" w:rsidRPr="008719F9" w:rsidRDefault="008719F9" w:rsidP="00565494">
      <w:pPr>
        <w:pStyle w:val="CommentText"/>
        <w:numPr>
          <w:ilvl w:val="1"/>
          <w:numId w:val="12"/>
        </w:numPr>
        <w:spacing w:after="0"/>
        <w:jc w:val="both"/>
        <w:rPr>
          <w:sz w:val="22"/>
          <w:szCs w:val="22"/>
          <w:u w:val="single"/>
        </w:rPr>
      </w:pPr>
      <w:r>
        <w:rPr>
          <w:rFonts w:cs="Calibri"/>
          <w:color w:val="000000" w:themeColor="text1"/>
          <w:sz w:val="22"/>
          <w:szCs w:val="22"/>
        </w:rPr>
        <w:t>A</w:t>
      </w:r>
      <w:r w:rsidR="0020070F" w:rsidRPr="00726B8C">
        <w:rPr>
          <w:rFonts w:cs="Calibri"/>
          <w:color w:val="000000" w:themeColor="text1"/>
          <w:sz w:val="22"/>
          <w:szCs w:val="22"/>
        </w:rPr>
        <w:t xml:space="preserve">dditional </w:t>
      </w:r>
      <w:r>
        <w:rPr>
          <w:rFonts w:cs="Calibri"/>
          <w:color w:val="000000" w:themeColor="text1"/>
          <w:sz w:val="22"/>
          <w:szCs w:val="22"/>
        </w:rPr>
        <w:t>N</w:t>
      </w:r>
      <w:r w:rsidR="0020070F" w:rsidRPr="00726B8C">
        <w:rPr>
          <w:rFonts w:cs="Calibri"/>
          <w:color w:val="000000" w:themeColor="text1"/>
          <w:sz w:val="22"/>
          <w:szCs w:val="22"/>
        </w:rPr>
        <w:t xml:space="preserve">eeds </w:t>
      </w:r>
      <w:r>
        <w:rPr>
          <w:rFonts w:cs="Calibri"/>
          <w:color w:val="000000" w:themeColor="text1"/>
          <w:sz w:val="22"/>
          <w:szCs w:val="22"/>
        </w:rPr>
        <w:t>P</w:t>
      </w:r>
      <w:r w:rsidR="0020070F" w:rsidRPr="00726B8C">
        <w:rPr>
          <w:rFonts w:cs="Calibri"/>
          <w:color w:val="000000" w:themeColor="text1"/>
          <w:sz w:val="22"/>
          <w:szCs w:val="22"/>
        </w:rPr>
        <w:t>ayment decreased by 16.6%</w:t>
      </w:r>
      <w:r w:rsidR="00357F1F">
        <w:rPr>
          <w:rFonts w:cs="Calibri"/>
          <w:color w:val="000000" w:themeColor="text1"/>
          <w:sz w:val="22"/>
          <w:szCs w:val="22"/>
        </w:rPr>
        <w:t xml:space="preserve"> (3,045)</w:t>
      </w:r>
      <w:r>
        <w:rPr>
          <w:rFonts w:cs="Calibri"/>
          <w:color w:val="000000" w:themeColor="text1"/>
          <w:sz w:val="22"/>
          <w:szCs w:val="22"/>
        </w:rPr>
        <w:t>.</w:t>
      </w:r>
    </w:p>
    <w:p w14:paraId="7D580E90" w14:textId="6D41D155" w:rsidR="00EC2FAD" w:rsidRPr="00726B8C" w:rsidRDefault="008719F9" w:rsidP="00565494">
      <w:pPr>
        <w:pStyle w:val="CommentText"/>
        <w:numPr>
          <w:ilvl w:val="1"/>
          <w:numId w:val="12"/>
        </w:numPr>
        <w:spacing w:after="0"/>
        <w:jc w:val="both"/>
        <w:rPr>
          <w:sz w:val="22"/>
          <w:szCs w:val="22"/>
          <w:u w:val="single"/>
        </w:rPr>
      </w:pPr>
      <w:r>
        <w:rPr>
          <w:rFonts w:cs="Calibri"/>
          <w:color w:val="000000" w:themeColor="text1"/>
          <w:sz w:val="22"/>
          <w:szCs w:val="22"/>
        </w:rPr>
        <w:t>R</w:t>
      </w:r>
      <w:r w:rsidR="00094B27" w:rsidRPr="00726B8C">
        <w:rPr>
          <w:rFonts w:cs="Calibri"/>
          <w:color w:val="000000" w:themeColor="text1"/>
          <w:sz w:val="22"/>
          <w:szCs w:val="22"/>
        </w:rPr>
        <w:t xml:space="preserve">ent </w:t>
      </w:r>
      <w:r>
        <w:rPr>
          <w:rFonts w:cs="Calibri"/>
          <w:color w:val="000000" w:themeColor="text1"/>
          <w:sz w:val="22"/>
          <w:szCs w:val="22"/>
        </w:rPr>
        <w:t>S</w:t>
      </w:r>
      <w:r w:rsidR="00094B27" w:rsidRPr="00726B8C">
        <w:rPr>
          <w:rFonts w:cs="Calibri"/>
          <w:color w:val="000000" w:themeColor="text1"/>
          <w:sz w:val="22"/>
          <w:szCs w:val="22"/>
        </w:rPr>
        <w:t>upplement decreased by 17.1%</w:t>
      </w:r>
      <w:r w:rsidR="00357F1F">
        <w:rPr>
          <w:rFonts w:cs="Calibri"/>
          <w:color w:val="000000" w:themeColor="text1"/>
          <w:sz w:val="22"/>
          <w:szCs w:val="22"/>
        </w:rPr>
        <w:t xml:space="preserve"> (809)</w:t>
      </w:r>
      <w:r w:rsidR="00094B27" w:rsidRPr="00726B8C">
        <w:rPr>
          <w:rFonts w:cs="Calibri"/>
          <w:color w:val="000000" w:themeColor="text1"/>
          <w:sz w:val="22"/>
          <w:szCs w:val="22"/>
        </w:rPr>
        <w:t>.</w:t>
      </w:r>
    </w:p>
    <w:p w14:paraId="5CB8A162" w14:textId="77777777" w:rsidR="009C3859" w:rsidRPr="0002338D" w:rsidRDefault="009C3859" w:rsidP="0002338D">
      <w:pPr>
        <w:ind w:left="720"/>
        <w:rPr>
          <w:rFonts w:eastAsiaTheme="majorEastAsia"/>
        </w:rPr>
      </w:pPr>
    </w:p>
    <w:p w14:paraId="6DB09E75" w14:textId="4FC6997B" w:rsidR="005E7F49" w:rsidRPr="009C3859" w:rsidRDefault="005E7F49" w:rsidP="00586C6E">
      <w:pPr>
        <w:pStyle w:val="Heading2"/>
      </w:pPr>
      <w:r w:rsidRPr="009C3859">
        <w:t>Caller profile data relating to Social Welfare</w:t>
      </w:r>
    </w:p>
    <w:p w14:paraId="297A9587" w14:textId="660BC360" w:rsidR="00B83087" w:rsidRPr="00726B8C" w:rsidRDefault="00E876AE" w:rsidP="00417A27">
      <w:pPr>
        <w:pStyle w:val="ListParagraph"/>
      </w:pPr>
      <w:r w:rsidRPr="00726B8C">
        <w:t xml:space="preserve">42.8% of callers for Social Welfare </w:t>
      </w:r>
      <w:r w:rsidR="00586C6E">
        <w:t>were aged</w:t>
      </w:r>
      <w:r w:rsidRPr="00726B8C">
        <w:t xml:space="preserve"> 46-65</w:t>
      </w:r>
      <w:r w:rsidR="0093614F" w:rsidRPr="00726B8C">
        <w:t xml:space="preserve">, 34% </w:t>
      </w:r>
      <w:r w:rsidR="00A2160B">
        <w:t>were aged</w:t>
      </w:r>
      <w:r w:rsidR="0093614F" w:rsidRPr="00726B8C">
        <w:t xml:space="preserve"> 26-45 and 20.3% </w:t>
      </w:r>
      <w:r w:rsidR="00A2160B">
        <w:t>were 66 and over</w:t>
      </w:r>
      <w:r w:rsidR="0093614F" w:rsidRPr="00726B8C">
        <w:t>.</w:t>
      </w:r>
    </w:p>
    <w:p w14:paraId="16381035" w14:textId="295B3BE7" w:rsidR="00E876AE" w:rsidRDefault="001A21F2" w:rsidP="00417A27">
      <w:pPr>
        <w:pStyle w:val="ListParagraph"/>
      </w:pPr>
      <w:r>
        <w:t>The 66</w:t>
      </w:r>
      <w:r w:rsidR="00A2160B">
        <w:t>-</w:t>
      </w:r>
      <w:r>
        <w:t>and</w:t>
      </w:r>
      <w:r w:rsidR="00A2160B">
        <w:t>-</w:t>
      </w:r>
      <w:r>
        <w:t xml:space="preserve">over age group accounted for nearly 50% of </w:t>
      </w:r>
      <w:r w:rsidR="00A2160B">
        <w:t xml:space="preserve">people asking about </w:t>
      </w:r>
      <w:r w:rsidR="006C4293">
        <w:t>Extra Social Welfare Benefits, followed by 46-65 (35.0%).</w:t>
      </w:r>
    </w:p>
    <w:p w14:paraId="142D0119" w14:textId="540F9BB6" w:rsidR="006C4293" w:rsidRDefault="00586C6E" w:rsidP="00417A27">
      <w:pPr>
        <w:pStyle w:val="ListParagraph"/>
      </w:pPr>
      <w:r>
        <w:t>O</w:t>
      </w:r>
      <w:r w:rsidR="00296CC2">
        <w:t xml:space="preserve">f those who called </w:t>
      </w:r>
      <w:r w:rsidR="00A2160B">
        <w:t>about</w:t>
      </w:r>
      <w:r w:rsidR="00296CC2">
        <w:t xml:space="preserve"> Disability and Illness</w:t>
      </w:r>
      <w:r>
        <w:t xml:space="preserve">, </w:t>
      </w:r>
      <w:r>
        <w:t xml:space="preserve">56.3% </w:t>
      </w:r>
      <w:r w:rsidR="00A2160B">
        <w:t xml:space="preserve">were </w:t>
      </w:r>
      <w:r w:rsidR="008F2D9E">
        <w:t>aged 46</w:t>
      </w:r>
      <w:r w:rsidR="00B923FE">
        <w:t xml:space="preserve">-65, followed by </w:t>
      </w:r>
      <w:r>
        <w:t>37.4% aged</w:t>
      </w:r>
      <w:r w:rsidR="00B923FE">
        <w:t xml:space="preserve"> 26-</w:t>
      </w:r>
      <w:r w:rsidR="00A2160B">
        <w:t>45</w:t>
      </w:r>
      <w:r w:rsidR="00B923FE">
        <w:t>.</w:t>
      </w:r>
    </w:p>
    <w:p w14:paraId="309E9C1A" w14:textId="76FCC8C0" w:rsidR="00B923FE" w:rsidRDefault="00A142D6" w:rsidP="00417A27">
      <w:pPr>
        <w:pStyle w:val="ListParagraph"/>
      </w:pPr>
      <w:r>
        <w:t>60.3%</w:t>
      </w:r>
      <w:r w:rsidR="00CE5067">
        <w:t xml:space="preserve"> of calls relating to Older and </w:t>
      </w:r>
      <w:r w:rsidR="00A2160B">
        <w:t xml:space="preserve">Retired People </w:t>
      </w:r>
      <w:r w:rsidR="00CE5067">
        <w:t>came from the 46-65</w:t>
      </w:r>
      <w:r w:rsidR="00AD243E">
        <w:t xml:space="preserve"> age group.</w:t>
      </w:r>
    </w:p>
    <w:p w14:paraId="41A061EB" w14:textId="0BF0A767" w:rsidR="00B923FE" w:rsidRDefault="008D4B0B" w:rsidP="00417A27">
      <w:pPr>
        <w:pStyle w:val="ListParagraph"/>
      </w:pPr>
      <w:r>
        <w:t>67.9% of calls about Families and Children came from the</w:t>
      </w:r>
      <w:r w:rsidR="00A3539D">
        <w:t xml:space="preserve"> </w:t>
      </w:r>
      <w:r>
        <w:t>26-45 age group</w:t>
      </w:r>
      <w:r w:rsidR="00A3539D">
        <w:t>.</w:t>
      </w:r>
    </w:p>
    <w:p w14:paraId="474F893D" w14:textId="2A6D000C" w:rsidR="00A3539D" w:rsidRDefault="00A3539D" w:rsidP="00417A27">
      <w:pPr>
        <w:pStyle w:val="ListParagraph"/>
      </w:pPr>
      <w:r>
        <w:t>Carers calls came most</w:t>
      </w:r>
      <w:r w:rsidR="00A2160B">
        <w:t>ly</w:t>
      </w:r>
      <w:r>
        <w:t xml:space="preserve"> from the </w:t>
      </w:r>
      <w:r w:rsidR="00CE71C7">
        <w:t>46-65</w:t>
      </w:r>
      <w:r>
        <w:t xml:space="preserve"> age group</w:t>
      </w:r>
      <w:r w:rsidR="001036E8">
        <w:t xml:space="preserve"> (45%)</w:t>
      </w:r>
      <w:r>
        <w:t xml:space="preserve">, followed by the </w:t>
      </w:r>
      <w:r w:rsidR="00CE71C7">
        <w:t>26-45</w:t>
      </w:r>
      <w:r w:rsidR="00A2160B">
        <w:t xml:space="preserve"> age group</w:t>
      </w:r>
      <w:r w:rsidR="00CE71C7">
        <w:t xml:space="preserve"> (39.2%).</w:t>
      </w:r>
    </w:p>
    <w:p w14:paraId="2D03A160" w14:textId="0F3ABB4B" w:rsidR="001036E8" w:rsidRPr="00726B8C" w:rsidRDefault="00A2160B" w:rsidP="00417A27">
      <w:pPr>
        <w:pStyle w:val="ListParagraph"/>
      </w:pPr>
      <w:r>
        <w:t xml:space="preserve">People enquiring about </w:t>
      </w:r>
      <w:r w:rsidR="00464F10">
        <w:t xml:space="preserve">Supplementary </w:t>
      </w:r>
      <w:r>
        <w:t xml:space="preserve">Welfare </w:t>
      </w:r>
      <w:r w:rsidR="00464F10">
        <w:t>schemes came almost equally from the 26-45 (42%), and the 46-65 age cohort (40.4%)</w:t>
      </w:r>
      <w:r w:rsidR="00D07E4C">
        <w:t>.</w:t>
      </w:r>
    </w:p>
    <w:p w14:paraId="1AFD56ED" w14:textId="77777777" w:rsidR="00094B27" w:rsidRPr="00726B8C" w:rsidRDefault="00094B27" w:rsidP="002C2CA4">
      <w:pPr>
        <w:spacing w:line="240" w:lineRule="auto"/>
        <w:jc w:val="both"/>
        <w:rPr>
          <w:sz w:val="22"/>
          <w:szCs w:val="22"/>
          <w:u w:val="single"/>
        </w:rPr>
      </w:pPr>
    </w:p>
    <w:p w14:paraId="622DBD60" w14:textId="5DF9DA4B" w:rsidR="00816688" w:rsidRDefault="00816688">
      <w:pPr>
        <w:rPr>
          <w:rFonts w:ascii="Tw Cen MT Condensed" w:eastAsiaTheme="majorEastAsia" w:hAnsi="Tw Cen MT Condensed" w:cstheme="majorBidi"/>
          <w:b/>
          <w:color w:val="1481AB" w:themeColor="accent1" w:themeShade="BF"/>
        </w:rPr>
      </w:pPr>
    </w:p>
    <w:p w14:paraId="70EED65A" w14:textId="58B7C7BE" w:rsidR="00942712" w:rsidRPr="00F775CD" w:rsidRDefault="00942712" w:rsidP="00290362">
      <w:pPr>
        <w:pStyle w:val="Heading3"/>
        <w:rPr>
          <w:sz w:val="28"/>
          <w:szCs w:val="28"/>
        </w:rPr>
      </w:pPr>
      <w:r w:rsidRPr="00F775CD">
        <w:rPr>
          <w:sz w:val="28"/>
          <w:szCs w:val="28"/>
        </w:rPr>
        <w:t xml:space="preserve">Table </w:t>
      </w:r>
      <w:r w:rsidR="00EE6517" w:rsidRPr="00F775CD">
        <w:rPr>
          <w:sz w:val="28"/>
          <w:szCs w:val="28"/>
        </w:rPr>
        <w:t>10</w:t>
      </w:r>
      <w:r w:rsidRPr="00F775CD">
        <w:rPr>
          <w:sz w:val="28"/>
          <w:szCs w:val="28"/>
        </w:rPr>
        <w:t xml:space="preserve"> – Social Welfare Query Breakdown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5529"/>
        <w:gridCol w:w="2126"/>
        <w:gridCol w:w="2693"/>
      </w:tblGrid>
      <w:tr w:rsidR="002C2688" w:rsidRPr="00586C6E" w14:paraId="03FEAE83" w14:textId="77777777" w:rsidTr="00586C6E">
        <w:trPr>
          <w:trHeight w:val="777"/>
        </w:trPr>
        <w:tc>
          <w:tcPr>
            <w:tcW w:w="552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hideMark/>
          </w:tcPr>
          <w:p w14:paraId="502D073A" w14:textId="79CE2DE2" w:rsidR="005F264A" w:rsidRPr="00586C6E" w:rsidRDefault="00FE2F17" w:rsidP="00586C6E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</w:pPr>
            <w:r w:rsidRPr="00586C6E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Social Welfare </w:t>
            </w:r>
            <w:r w:rsidR="005F264A" w:rsidRPr="00586C6E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Sub-</w:t>
            </w:r>
            <w:r w:rsidR="00860A5D" w:rsidRPr="00586C6E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Category</w:t>
            </w:r>
            <w:r w:rsidR="005F264A" w:rsidRPr="00586C6E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Breakdown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hideMark/>
          </w:tcPr>
          <w:p w14:paraId="6A7B2066" w14:textId="1AC65BD7" w:rsidR="005F264A" w:rsidRPr="00586C6E" w:rsidRDefault="005F264A" w:rsidP="00586C6E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</w:pPr>
            <w:r w:rsidRPr="00586C6E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# of Queries</w:t>
            </w:r>
          </w:p>
        </w:tc>
        <w:tc>
          <w:tcPr>
            <w:tcW w:w="26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hideMark/>
          </w:tcPr>
          <w:p w14:paraId="170D960D" w14:textId="6C532EE9" w:rsidR="00BD077D" w:rsidRPr="00586C6E" w:rsidRDefault="005F264A" w:rsidP="00586C6E">
            <w:pPr>
              <w:spacing w:after="0" w:line="240" w:lineRule="auto"/>
              <w:ind w:left="-111" w:firstLine="2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</w:pPr>
            <w:r w:rsidRPr="00586C6E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% of Social Welfare</w:t>
            </w:r>
          </w:p>
          <w:p w14:paraId="1096CB37" w14:textId="115E6BCD" w:rsidR="00F775CD" w:rsidRPr="00586C6E" w:rsidRDefault="005F264A" w:rsidP="00586C6E">
            <w:pPr>
              <w:spacing w:after="0" w:line="240" w:lineRule="auto"/>
              <w:ind w:left="-111" w:firstLine="2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</w:pPr>
            <w:r w:rsidRPr="00586C6E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Sub-category</w:t>
            </w:r>
          </w:p>
        </w:tc>
      </w:tr>
      <w:tr w:rsidR="005F264A" w:rsidRPr="00586C6E" w14:paraId="3E37B895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C798D89" w14:textId="72D821FB" w:rsidR="005F264A" w:rsidRPr="00586C6E" w:rsidRDefault="005F264A" w:rsidP="004058C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Extra Social Welfare Benefits   </w:t>
            </w:r>
            <w:r w:rsidRPr="00586C6E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5F0629" w:rsidRPr="00586C6E">
              <w:rPr>
                <w:b/>
                <w:bCs/>
                <w:sz w:val="22"/>
                <w:szCs w:val="22"/>
              </w:rPr>
              <w:t xml:space="preserve">   </w:t>
            </w:r>
            <w:r w:rsidR="00816688" w:rsidRPr="00586C6E">
              <w:rPr>
                <w:b/>
                <w:bCs/>
                <w:sz w:val="22"/>
                <w:szCs w:val="22"/>
              </w:rPr>
              <w:t xml:space="preserve">                  </w:t>
            </w:r>
            <w:r w:rsidR="00A418F9" w:rsidRPr="00586C6E">
              <w:rPr>
                <w:b/>
                <w:bCs/>
                <w:sz w:val="22"/>
                <w:szCs w:val="22"/>
              </w:rPr>
              <w:t xml:space="preserve"> </w:t>
            </w:r>
            <w:r w:rsidR="00816688" w:rsidRPr="00586C6E">
              <w:rPr>
                <w:b/>
                <w:bCs/>
                <w:sz w:val="22"/>
                <w:szCs w:val="22"/>
              </w:rPr>
              <w:t xml:space="preserve">                                                    </w:t>
            </w:r>
            <w:r w:rsidR="002C2688" w:rsidRPr="00586C6E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Pr="00586C6E">
              <w:rPr>
                <w:b/>
                <w:bCs/>
                <w:sz w:val="22"/>
                <w:szCs w:val="22"/>
              </w:rPr>
              <w:t>16.3%</w:t>
            </w:r>
            <w:r w:rsidR="002C2688" w:rsidRPr="00586C6E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2C2688" w:rsidRPr="00586C6E" w14:paraId="67C1AF99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AB0F09C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Fuel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10B919F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6,556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3DE71D4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44.6%</w:t>
            </w:r>
          </w:p>
        </w:tc>
      </w:tr>
      <w:tr w:rsidR="002C2688" w:rsidRPr="00586C6E" w14:paraId="7DE0C9F0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C7A7BC5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Household Benefits Package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1EAD95B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4,411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9A15904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30.0%</w:t>
            </w:r>
          </w:p>
        </w:tc>
      </w:tr>
      <w:tr w:rsidR="002C2688" w:rsidRPr="00586C6E" w14:paraId="1E20830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3AFF413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Free Travel (Travel Card, Companion Card, etc.)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033485C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1,762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A6BA187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12.0%</w:t>
            </w:r>
          </w:p>
        </w:tc>
      </w:tr>
      <w:tr w:rsidR="002C2688" w:rsidRPr="00586C6E" w14:paraId="09B2EA1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05044C4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Living Alone Increase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26AF224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1,579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BD807DF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10.7%</w:t>
            </w:r>
          </w:p>
        </w:tc>
      </w:tr>
      <w:tr w:rsidR="002C2688" w:rsidRPr="00586C6E" w14:paraId="599B5712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FCAD99B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Telephone Support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40AEF12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2823E44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1.7%</w:t>
            </w:r>
          </w:p>
        </w:tc>
      </w:tr>
      <w:tr w:rsidR="002C2688" w:rsidRPr="00586C6E" w14:paraId="20E8F598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768395D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Treatment Benefits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46D7DE0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782D317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0.7%</w:t>
            </w:r>
          </w:p>
        </w:tc>
      </w:tr>
      <w:tr w:rsidR="002C2688" w:rsidRPr="00586C6E" w14:paraId="3BB6E454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42292B3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Christmas Bonus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D62A5A2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C791211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0.2%</w:t>
            </w:r>
          </w:p>
        </w:tc>
      </w:tr>
      <w:tr w:rsidR="002C2688" w:rsidRPr="00586C6E" w14:paraId="53BF804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2622F4C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 xml:space="preserve">Cost of Living Increases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BBD6D12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D0E2C1F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0.2%</w:t>
            </w:r>
          </w:p>
        </w:tc>
      </w:tr>
      <w:tr w:rsidR="002C2688" w:rsidRPr="00586C6E" w14:paraId="33CF1121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4A8BD31" w14:textId="77777777" w:rsidR="005F264A" w:rsidRPr="00586C6E" w:rsidRDefault="005F264A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86EF0BF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14,705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169140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5F264A" w:rsidRPr="00586C6E" w14:paraId="4D3D98D9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9D0E067" w14:textId="6F2B9584" w:rsidR="005F264A" w:rsidRPr="00586C6E" w:rsidRDefault="005F264A" w:rsidP="004058C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Disability and Illness                       </w:t>
            </w:r>
            <w:r w:rsidR="005F0629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</w:t>
            </w:r>
            <w:r w:rsidR="006106DF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</w:t>
            </w:r>
            <w:r w:rsidR="00816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   </w:t>
            </w:r>
            <w:r w:rsidR="00A418F9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</w:t>
            </w:r>
            <w:r w:rsidR="00816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</w:t>
            </w:r>
            <w:r w:rsidR="006106DF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</w:t>
            </w:r>
            <w:r w:rsidRPr="00586C6E">
              <w:rPr>
                <w:b/>
                <w:bCs/>
                <w:sz w:val="22"/>
                <w:szCs w:val="22"/>
              </w:rPr>
              <w:t xml:space="preserve">15.0%            </w:t>
            </w:r>
          </w:p>
        </w:tc>
      </w:tr>
      <w:tr w:rsidR="002C2688" w:rsidRPr="00586C6E" w14:paraId="4C6CCDC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F1D96F8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Disability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3595A4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6,744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BBA7D7C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49.8%</w:t>
            </w:r>
          </w:p>
        </w:tc>
      </w:tr>
      <w:tr w:rsidR="002C2688" w:rsidRPr="00586C6E" w14:paraId="071B5136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51EE299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Illness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E7CDDE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3,219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3D17FA9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23.8%</w:t>
            </w:r>
          </w:p>
        </w:tc>
      </w:tr>
      <w:tr w:rsidR="002C2688" w:rsidRPr="00586C6E" w14:paraId="0693E37C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E073DCA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Invalidity 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6DA3890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2,638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CB8BF68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19.5%</w:t>
            </w:r>
          </w:p>
        </w:tc>
      </w:tr>
      <w:tr w:rsidR="002C2688" w:rsidRPr="00586C6E" w14:paraId="5784454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28AB255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Partial Capacity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E8601D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BC0E7A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3.7%</w:t>
            </w:r>
          </w:p>
        </w:tc>
      </w:tr>
      <w:tr w:rsidR="002C2688" w:rsidRPr="00586C6E" w14:paraId="3F71E0BF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86257F0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Injury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D44CEE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982FE2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1.2%</w:t>
            </w:r>
          </w:p>
        </w:tc>
      </w:tr>
      <w:tr w:rsidR="002C2688" w:rsidRPr="00586C6E" w14:paraId="2C56C4D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EC7CB98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Other Payment (Blind Pension/Other)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1DA2F48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54A550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1.1%</w:t>
            </w:r>
          </w:p>
        </w:tc>
      </w:tr>
      <w:tr w:rsidR="002C2688" w:rsidRPr="00586C6E" w14:paraId="4638F529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7C9DFE5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Occupational Injuries Benefit Scheme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69F16BB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37C2CD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1.0%</w:t>
            </w:r>
          </w:p>
        </w:tc>
      </w:tr>
      <w:tr w:rsidR="002C2688" w:rsidRPr="00586C6E" w14:paraId="1AB796FE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221F2B3" w14:textId="77777777" w:rsidR="005F264A" w:rsidRPr="00586C6E" w:rsidRDefault="005F264A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B687779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13,540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1BC2A82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5F264A" w:rsidRPr="00586C6E" w14:paraId="76EA4C54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02858FB" w14:textId="36E28DA7" w:rsidR="005F264A" w:rsidRPr="00586C6E" w:rsidRDefault="005F264A" w:rsidP="004058C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Older and Retired People                        </w:t>
            </w:r>
            <w:r w:rsidR="006106DF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</w:t>
            </w:r>
            <w:r w:rsidR="00816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</w:t>
            </w:r>
            <w:r w:rsidR="00A418F9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16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</w:t>
            </w:r>
            <w:r w:rsidRPr="00586C6E">
              <w:rPr>
                <w:b/>
                <w:bCs/>
                <w:sz w:val="22"/>
                <w:szCs w:val="22"/>
              </w:rPr>
              <w:t>13.1%</w:t>
            </w:r>
          </w:p>
        </w:tc>
      </w:tr>
      <w:tr w:rsidR="002C2688" w:rsidRPr="00586C6E" w14:paraId="6D8542A4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57F26BB" w14:textId="77777777" w:rsidR="005F264A" w:rsidRPr="00586C6E" w:rsidRDefault="005F264A" w:rsidP="00F70EFC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State Pension/Contributory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9FDA348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6,272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26DE8B6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53.2%</w:t>
            </w:r>
          </w:p>
        </w:tc>
      </w:tr>
      <w:tr w:rsidR="002C2688" w:rsidRPr="00586C6E" w14:paraId="434ECAF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C5A7415" w14:textId="77777777" w:rsidR="005F264A" w:rsidRPr="00586C6E" w:rsidRDefault="005F264A" w:rsidP="00F70EFC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State Pension/Non-Contributory 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5240FB0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2,821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37AA668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23.9%</w:t>
            </w:r>
          </w:p>
        </w:tc>
      </w:tr>
      <w:tr w:rsidR="002C2688" w:rsidRPr="00586C6E" w14:paraId="4C6A2664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0CCF77D" w14:textId="77777777" w:rsidR="005F264A" w:rsidRPr="00586C6E" w:rsidRDefault="005F264A" w:rsidP="00F70EFC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Payment for people who retire at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23F5220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23E55B1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7.0%</w:t>
            </w:r>
          </w:p>
        </w:tc>
      </w:tr>
      <w:tr w:rsidR="002C2688" w:rsidRPr="00586C6E" w14:paraId="1B7CA25C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F4FA1EC" w14:textId="77777777" w:rsidR="005F264A" w:rsidRPr="00586C6E" w:rsidRDefault="005F264A" w:rsidP="00F70EFC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Qualified Adults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D039B2C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E64C8EB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5.0%</w:t>
            </w:r>
          </w:p>
        </w:tc>
      </w:tr>
      <w:tr w:rsidR="002C2688" w:rsidRPr="00586C6E" w14:paraId="2BCBA63E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76D65BC" w14:textId="77777777" w:rsidR="005F264A" w:rsidRPr="00586C6E" w:rsidRDefault="005F264A" w:rsidP="00F70EFC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UK Pensions/Brexit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AE4AD9E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1E57BD0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5.0%</w:t>
            </w:r>
          </w:p>
        </w:tc>
      </w:tr>
      <w:tr w:rsidR="002C2688" w:rsidRPr="00586C6E" w14:paraId="5AD9070C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EB55D88" w14:textId="77777777" w:rsidR="005F264A" w:rsidRPr="00586C6E" w:rsidRDefault="005F264A" w:rsidP="00F70EFC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Homemakers Scheme/HomeCaring Periods Scheme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ED20F69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BA60349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4.0%</w:t>
            </w:r>
          </w:p>
        </w:tc>
      </w:tr>
      <w:tr w:rsidR="002C2688" w:rsidRPr="00586C6E" w14:paraId="143019D2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2F03731" w14:textId="77777777" w:rsidR="005F264A" w:rsidRPr="00586C6E" w:rsidRDefault="005F264A" w:rsidP="00F70EFC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EU/International Pensions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48238DA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2CBEC2B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1.8%</w:t>
            </w:r>
          </w:p>
        </w:tc>
      </w:tr>
      <w:tr w:rsidR="002C2688" w:rsidRPr="00586C6E" w14:paraId="0038FD71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45B4BDB" w14:textId="77777777" w:rsidR="005F264A" w:rsidRPr="00586C6E" w:rsidRDefault="005F264A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D79DDBD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11,794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73C5296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5F264A" w:rsidRPr="00586C6E" w14:paraId="5DBD889C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55F8D54" w14:textId="20783FA1" w:rsidR="005F264A" w:rsidRPr="00586C6E" w:rsidRDefault="008719F9" w:rsidP="004058C3">
            <w:pPr>
              <w:spacing w:after="0" w:line="240" w:lineRule="auto"/>
              <w:rPr>
                <w:b/>
                <w:bCs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>Families</w:t>
            </w:r>
            <w:r w:rsidR="005F264A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and Children                                               </w:t>
            </w:r>
            <w:r w:rsidR="005F0629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</w:t>
            </w:r>
            <w:r w:rsidR="005727F6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                      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</w:t>
            </w:r>
            <w:r w:rsidR="005727F6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</w:t>
            </w:r>
            <w:r w:rsidR="00E3129F" w:rsidRPr="00586C6E">
              <w:rPr>
                <w:b/>
                <w:bCs/>
                <w:sz w:val="22"/>
                <w:szCs w:val="22"/>
              </w:rPr>
              <w:t>1</w:t>
            </w:r>
            <w:r w:rsidR="005F264A" w:rsidRPr="00586C6E">
              <w:rPr>
                <w:b/>
                <w:bCs/>
                <w:sz w:val="22"/>
                <w:szCs w:val="22"/>
              </w:rPr>
              <w:t>0.9%</w:t>
            </w:r>
          </w:p>
        </w:tc>
      </w:tr>
      <w:tr w:rsidR="002C2688" w:rsidRPr="00586C6E" w14:paraId="00DBB1A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B2EC0A2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 xml:space="preserve">Working Family Payment (WFP)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BA0D945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3,039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4BC24C7" w14:textId="290A678E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</w:t>
            </w:r>
            <w:r w:rsidR="008719F9" w:rsidRPr="00586C6E">
              <w:rPr>
                <w:sz w:val="20"/>
                <w:szCs w:val="20"/>
              </w:rPr>
              <w:t>0</w:t>
            </w:r>
            <w:r w:rsidRPr="00586C6E">
              <w:rPr>
                <w:sz w:val="20"/>
                <w:szCs w:val="20"/>
              </w:rPr>
              <w:t>.</w:t>
            </w:r>
            <w:r w:rsidR="008719F9" w:rsidRPr="00586C6E">
              <w:rPr>
                <w:sz w:val="20"/>
                <w:szCs w:val="20"/>
              </w:rPr>
              <w:t>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2C2688" w:rsidRPr="00586C6E" w14:paraId="05C0B664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73BE2FD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One Parent Family Payment (OFP)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F7FACAD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1,617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1020A3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16.4%</w:t>
            </w:r>
          </w:p>
        </w:tc>
      </w:tr>
      <w:tr w:rsidR="002C2688" w:rsidRPr="00586C6E" w14:paraId="5916C381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D21D9C1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Child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ABB28A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1,519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ED13A1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15.4%</w:t>
            </w:r>
          </w:p>
        </w:tc>
      </w:tr>
      <w:tr w:rsidR="002C2688" w:rsidRPr="00586C6E" w14:paraId="771C3B90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95718A8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Back to School Clothing &amp; Footwear Allowance (BTSCFA)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D59DB57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1,476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B409189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14.9%</w:t>
            </w:r>
          </w:p>
        </w:tc>
      </w:tr>
      <w:tr w:rsidR="002C2688" w:rsidRPr="00586C6E" w14:paraId="64287FB2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125FAD4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Maternity/ Adoptive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9143FB3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8DCA812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6.6%</w:t>
            </w:r>
          </w:p>
        </w:tc>
      </w:tr>
      <w:tr w:rsidR="002C2688" w:rsidRPr="00586C6E" w14:paraId="6860528C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0B7C29C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Increase for a Qualified Adult (IQA)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4B18037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8907188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5.0%</w:t>
            </w:r>
          </w:p>
        </w:tc>
      </w:tr>
      <w:tr w:rsidR="002C2688" w:rsidRPr="00586C6E" w14:paraId="746A7878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24BA8D0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Increase for a Qualified Child (IQC)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B98193E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50D25A8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3.8%</w:t>
            </w:r>
          </w:p>
        </w:tc>
      </w:tr>
      <w:tr w:rsidR="002C2688" w:rsidRPr="00586C6E" w14:paraId="666E737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39C76A6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Parent's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4809D3E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51D0C52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3.0%</w:t>
            </w:r>
          </w:p>
        </w:tc>
      </w:tr>
      <w:tr w:rsidR="002C2688" w:rsidRPr="00586C6E" w14:paraId="60BBFE83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6516A1D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lastRenderedPageBreak/>
              <w:t>Paternity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C609CFF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173C0E5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2.0%</w:t>
            </w:r>
          </w:p>
        </w:tc>
      </w:tr>
      <w:tr w:rsidR="002C2688" w:rsidRPr="00586C6E" w14:paraId="15AA242C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71FC1F5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Back to Work Family Dividend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6089BB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A908779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1.5%</w:t>
            </w:r>
          </w:p>
        </w:tc>
      </w:tr>
      <w:tr w:rsidR="002C2688" w:rsidRPr="00586C6E" w14:paraId="41F60818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B3A5F29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Health and Safety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961840E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13F6F6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0.3%</w:t>
            </w:r>
          </w:p>
        </w:tc>
      </w:tr>
      <w:tr w:rsidR="002C2688" w:rsidRPr="00586C6E" w14:paraId="2DF0B86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6A15A90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Deserted Wife's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71BF19F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6113A27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0.2%</w:t>
            </w:r>
          </w:p>
        </w:tc>
      </w:tr>
      <w:tr w:rsidR="002C2688" w:rsidRPr="00586C6E" w14:paraId="2E9EBC23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6DEC673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Deserted Wife's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B6FCF65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B741035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0.0%</w:t>
            </w:r>
          </w:p>
        </w:tc>
      </w:tr>
      <w:tr w:rsidR="002C2688" w:rsidRPr="00586C6E" w14:paraId="1A4A970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AA4605C" w14:textId="77777777" w:rsidR="005F264A" w:rsidRPr="00586C6E" w:rsidRDefault="005F264A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F117480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9,877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AF2C7D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5F264A" w:rsidRPr="00586C6E" w14:paraId="518AB1B4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A906BF7" w14:textId="6BEC23EF" w:rsidR="005F264A" w:rsidRPr="00586C6E" w:rsidRDefault="005F264A" w:rsidP="004058C3">
            <w:pPr>
              <w:spacing w:after="0" w:line="240" w:lineRule="auto"/>
              <w:rPr>
                <w:b/>
                <w:bCs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>Carers</w:t>
            </w:r>
            <w:r w:rsidRPr="00586C6E">
              <w:rPr>
                <w:b/>
                <w:bCs/>
                <w:sz w:val="22"/>
                <w:szCs w:val="22"/>
              </w:rPr>
              <w:t xml:space="preserve">                                                             </w:t>
            </w:r>
            <w:r w:rsidR="005F0629" w:rsidRPr="00586C6E">
              <w:rPr>
                <w:b/>
                <w:bCs/>
                <w:sz w:val="22"/>
                <w:szCs w:val="22"/>
              </w:rPr>
              <w:t xml:space="preserve">      </w:t>
            </w:r>
            <w:r w:rsidR="006106DF" w:rsidRPr="00586C6E">
              <w:rPr>
                <w:b/>
                <w:bCs/>
                <w:sz w:val="22"/>
                <w:szCs w:val="22"/>
              </w:rPr>
              <w:t xml:space="preserve">     </w:t>
            </w:r>
            <w:r w:rsidR="005727F6" w:rsidRPr="00586C6E">
              <w:rPr>
                <w:b/>
                <w:bCs/>
                <w:sz w:val="22"/>
                <w:szCs w:val="22"/>
              </w:rPr>
              <w:t xml:space="preserve">                  </w:t>
            </w:r>
            <w:r w:rsidR="00125B60" w:rsidRPr="00586C6E">
              <w:rPr>
                <w:b/>
                <w:bCs/>
                <w:sz w:val="22"/>
                <w:szCs w:val="22"/>
              </w:rPr>
              <w:t xml:space="preserve">  </w:t>
            </w:r>
            <w:r w:rsidR="005727F6" w:rsidRPr="00586C6E">
              <w:rPr>
                <w:b/>
                <w:bCs/>
                <w:sz w:val="22"/>
                <w:szCs w:val="22"/>
              </w:rPr>
              <w:t xml:space="preserve">                                                    </w:t>
            </w:r>
            <w:r w:rsidR="002C2688" w:rsidRPr="00586C6E">
              <w:rPr>
                <w:b/>
                <w:bCs/>
                <w:sz w:val="22"/>
                <w:szCs w:val="22"/>
              </w:rPr>
              <w:t xml:space="preserve">                                   </w:t>
            </w:r>
            <w:r w:rsidRPr="00586C6E">
              <w:rPr>
                <w:b/>
                <w:bCs/>
                <w:sz w:val="22"/>
                <w:szCs w:val="22"/>
              </w:rPr>
              <w:t>10.2%</w:t>
            </w:r>
          </w:p>
        </w:tc>
      </w:tr>
      <w:tr w:rsidR="002C2688" w:rsidRPr="00586C6E" w14:paraId="4E9D0363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0D03176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Carer's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066B5C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5,658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7518D0D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61.7%</w:t>
            </w:r>
          </w:p>
        </w:tc>
      </w:tr>
      <w:tr w:rsidR="002C2688" w:rsidRPr="00586C6E" w14:paraId="358A63A3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897DABB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Domiciliary Care Allowance (DCA)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4AF3C1B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1,063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1A1C189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11.6%</w:t>
            </w:r>
          </w:p>
        </w:tc>
      </w:tr>
      <w:tr w:rsidR="002C2688" w:rsidRPr="00586C6E" w14:paraId="66BCDC7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91D26E8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Carer's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6A4430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1,029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DC697DE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11.2%</w:t>
            </w:r>
          </w:p>
        </w:tc>
      </w:tr>
      <w:tr w:rsidR="002C2688" w:rsidRPr="00586C6E" w14:paraId="29FD74B1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6639421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Carer’s Support Grant (Respite Care Grant)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536A554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C7184B8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8.9%</w:t>
            </w:r>
          </w:p>
        </w:tc>
      </w:tr>
      <w:tr w:rsidR="002C2688" w:rsidRPr="00586C6E" w14:paraId="1FD5A651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B7268DD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Half-rate Carer's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2DD9D2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0A5116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6.6%</w:t>
            </w:r>
          </w:p>
        </w:tc>
      </w:tr>
      <w:tr w:rsidR="002C2688" w:rsidRPr="00586C6E" w14:paraId="043F9D89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25A256D" w14:textId="77777777" w:rsidR="005F264A" w:rsidRPr="00586C6E" w:rsidRDefault="005F264A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5AA2AF" w14:textId="76CB9C98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9,</w:t>
            </w:r>
            <w:r w:rsidR="008719F9" w:rsidRPr="00586C6E"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B1FF67B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5F264A" w:rsidRPr="00586C6E" w14:paraId="54B79734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78B43E0" w14:textId="088A221E" w:rsidR="005F264A" w:rsidRPr="00586C6E" w:rsidRDefault="005F264A" w:rsidP="004058C3">
            <w:pPr>
              <w:spacing w:after="0" w:line="240" w:lineRule="auto"/>
              <w:rPr>
                <w:b/>
                <w:bCs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Supplementary Welfare Schemes             </w:t>
            </w:r>
            <w:r w:rsidRPr="00586C6E">
              <w:rPr>
                <w:b/>
                <w:bCs/>
                <w:sz w:val="22"/>
                <w:szCs w:val="22"/>
              </w:rPr>
              <w:t xml:space="preserve">                          </w:t>
            </w:r>
            <w:r w:rsidR="005F0629" w:rsidRPr="00586C6E">
              <w:rPr>
                <w:b/>
                <w:bCs/>
                <w:sz w:val="22"/>
                <w:szCs w:val="22"/>
              </w:rPr>
              <w:t xml:space="preserve">    </w:t>
            </w:r>
            <w:r w:rsidR="005727F6" w:rsidRPr="00586C6E"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  <w:r w:rsidR="002C2688" w:rsidRPr="00586C6E">
              <w:rPr>
                <w:b/>
                <w:bCs/>
                <w:sz w:val="22"/>
                <w:szCs w:val="22"/>
              </w:rPr>
              <w:t xml:space="preserve">                                   </w:t>
            </w:r>
            <w:r w:rsidR="005727F6" w:rsidRPr="00586C6E">
              <w:rPr>
                <w:b/>
                <w:bCs/>
                <w:sz w:val="22"/>
                <w:szCs w:val="22"/>
              </w:rPr>
              <w:t xml:space="preserve">    </w:t>
            </w:r>
            <w:r w:rsidRPr="00586C6E">
              <w:rPr>
                <w:b/>
                <w:bCs/>
                <w:sz w:val="22"/>
                <w:szCs w:val="22"/>
              </w:rPr>
              <w:t>8.6%</w:t>
            </w:r>
          </w:p>
        </w:tc>
      </w:tr>
      <w:tr w:rsidR="002C2688" w:rsidRPr="00586C6E" w14:paraId="673B18CB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23093E3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Basic Supplementary Welfare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A637D1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3,802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FB82A49" w14:textId="7C4371B2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49.3%</w:t>
            </w:r>
          </w:p>
        </w:tc>
      </w:tr>
      <w:tr w:rsidR="002C2688" w:rsidRPr="00586C6E" w14:paraId="4F4E1110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13321A0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Additional Needs Payment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19DD6F6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3,045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F4C5B0F" w14:textId="426DAAE2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39.5%</w:t>
            </w:r>
          </w:p>
        </w:tc>
      </w:tr>
      <w:tr w:rsidR="002C2688" w:rsidRPr="00586C6E" w14:paraId="6BF31A5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0F16427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Rent Supplement (RS)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9BD2FB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F9C479" w14:textId="04416544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10.5%</w:t>
            </w:r>
          </w:p>
        </w:tc>
      </w:tr>
      <w:tr w:rsidR="002C2688" w:rsidRPr="00586C6E" w14:paraId="31E8CCB7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8475BC4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Diet/Heating Supplement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4986352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526F098" w14:textId="5BD687EA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0.8%</w:t>
            </w:r>
          </w:p>
        </w:tc>
      </w:tr>
      <w:tr w:rsidR="002C2688" w:rsidRPr="00586C6E" w14:paraId="1C73398B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B02459F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Mortgage Interest Supplement (MIS)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135C6FE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1FDD21" w14:textId="50290E46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0.0%</w:t>
            </w:r>
          </w:p>
        </w:tc>
      </w:tr>
      <w:tr w:rsidR="002C2688" w:rsidRPr="00586C6E" w14:paraId="3F5226C9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B735B65" w14:textId="77777777" w:rsidR="005F264A" w:rsidRPr="00586C6E" w:rsidRDefault="005F264A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85F99F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7,717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5C630FD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5F264A" w:rsidRPr="00586C6E" w14:paraId="143E5F8B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DA6D4CB" w14:textId="723AB883" w:rsidR="005F264A" w:rsidRPr="00586C6E" w:rsidRDefault="005F264A" w:rsidP="004058C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Unemployed People                      </w:t>
            </w:r>
            <w:r w:rsidR="00D2767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  <w:r w:rsidR="00D52D63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</w:t>
            </w:r>
            <w:r w:rsidR="00B66BD4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="005F0629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</w:t>
            </w:r>
            <w:r w:rsidR="00B66BD4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</w:t>
            </w:r>
            <w:r w:rsidRPr="00586C6E">
              <w:rPr>
                <w:b/>
                <w:bCs/>
                <w:sz w:val="22"/>
                <w:szCs w:val="22"/>
              </w:rPr>
              <w:t>8.4%</w:t>
            </w:r>
          </w:p>
        </w:tc>
      </w:tr>
      <w:tr w:rsidR="002C2688" w:rsidRPr="00586C6E" w14:paraId="5AA03B46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7E40B46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Jobseeker's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91439D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4,226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9DBA6F0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55.8%</w:t>
            </w:r>
          </w:p>
        </w:tc>
      </w:tr>
      <w:tr w:rsidR="002C2688" w:rsidRPr="00586C6E" w14:paraId="58C69E86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00ED075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Jobseeker's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600526" w14:textId="29BD0CCB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</w:t>
            </w:r>
            <w:r w:rsidR="008719F9" w:rsidRPr="00586C6E">
              <w:rPr>
                <w:sz w:val="20"/>
                <w:szCs w:val="20"/>
              </w:rPr>
              <w:t>,282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B26B2D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30.2%</w:t>
            </w:r>
          </w:p>
        </w:tc>
      </w:tr>
      <w:tr w:rsidR="002C2688" w:rsidRPr="00586C6E" w14:paraId="0A29999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6BC5A36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Jobseeker's Transitional Payment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DDBA2A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F3B89FD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6.8%</w:t>
            </w:r>
          </w:p>
        </w:tc>
      </w:tr>
      <w:tr w:rsidR="002C2688" w:rsidRPr="00586C6E" w14:paraId="6DA53D36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8F6C252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Social Welfare Payments and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D89BD06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8256520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6.1%</w:t>
            </w:r>
          </w:p>
        </w:tc>
      </w:tr>
      <w:tr w:rsidR="002C2688" w:rsidRPr="00586C6E" w14:paraId="11078D43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72A307B" w14:textId="77777777" w:rsidR="005F264A" w:rsidRPr="00586C6E" w:rsidRDefault="005F264A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Unemployed following self-employment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92E63B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6972F8A" w14:textId="77777777" w:rsidR="005F264A" w:rsidRPr="00586C6E" w:rsidRDefault="005F264A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1.2%</w:t>
            </w:r>
          </w:p>
        </w:tc>
      </w:tr>
      <w:tr w:rsidR="002C2688" w:rsidRPr="00586C6E" w14:paraId="0D8A0E89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9C30BCB" w14:textId="77777777" w:rsidR="005F264A" w:rsidRPr="00586C6E" w:rsidRDefault="005F264A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AA85D62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7,569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813755C" w14:textId="77777777" w:rsidR="005F264A" w:rsidRPr="00586C6E" w:rsidRDefault="005F264A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560983" w:rsidRPr="00586C6E" w14:paraId="5CC1F3C1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216C8F4B" w14:textId="0431FCDE" w:rsidR="00560983" w:rsidRPr="00586C6E" w:rsidRDefault="009A1F54" w:rsidP="00722833">
            <w:pPr>
              <w:spacing w:after="0" w:line="240" w:lineRule="auto"/>
              <w:rPr>
                <w:b/>
                <w:bCs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>Social Insuranc</w:t>
            </w:r>
            <w:r w:rsidR="00722833" w:rsidRPr="00586C6E">
              <w:rPr>
                <w:b/>
                <w:bCs/>
                <w:color w:val="FFFFFF" w:themeColor="background1"/>
                <w:sz w:val="22"/>
                <w:szCs w:val="22"/>
              </w:rPr>
              <w:t>e (</w:t>
            </w:r>
            <w:r w:rsidR="00860A5D" w:rsidRPr="00586C6E">
              <w:rPr>
                <w:b/>
                <w:bCs/>
                <w:color w:val="FFFFFF" w:themeColor="background1"/>
                <w:sz w:val="22"/>
                <w:szCs w:val="22"/>
              </w:rPr>
              <w:t>PRSI)</w:t>
            </w:r>
            <w:r w:rsidR="00860A5D" w:rsidRPr="00586C6E">
              <w:rPr>
                <w:b/>
                <w:bCs/>
                <w:sz w:val="22"/>
                <w:szCs w:val="22"/>
              </w:rPr>
              <w:t xml:space="preserve">  </w:t>
            </w:r>
            <w:r w:rsidR="00563681" w:rsidRPr="00586C6E">
              <w:rPr>
                <w:b/>
                <w:bCs/>
                <w:sz w:val="22"/>
                <w:szCs w:val="22"/>
              </w:rPr>
              <w:t xml:space="preserve">                                             </w:t>
            </w:r>
            <w:r w:rsidR="005F0629" w:rsidRPr="00586C6E">
              <w:rPr>
                <w:b/>
                <w:bCs/>
                <w:sz w:val="22"/>
                <w:szCs w:val="22"/>
              </w:rPr>
              <w:t xml:space="preserve"> </w:t>
            </w:r>
            <w:r w:rsidR="00EB4845" w:rsidRPr="00586C6E">
              <w:rPr>
                <w:b/>
                <w:bCs/>
                <w:sz w:val="22"/>
                <w:szCs w:val="22"/>
              </w:rPr>
              <w:t xml:space="preserve">            </w:t>
            </w:r>
            <w:r w:rsidR="00125B60" w:rsidRPr="00586C6E">
              <w:rPr>
                <w:b/>
                <w:bCs/>
                <w:sz w:val="22"/>
                <w:szCs w:val="22"/>
              </w:rPr>
              <w:t xml:space="preserve"> </w:t>
            </w:r>
            <w:r w:rsidR="00EB4845" w:rsidRPr="00586C6E">
              <w:rPr>
                <w:b/>
                <w:bCs/>
                <w:sz w:val="22"/>
                <w:szCs w:val="22"/>
              </w:rPr>
              <w:t xml:space="preserve">                                 </w:t>
            </w:r>
            <w:r w:rsidR="00B66BD4" w:rsidRPr="00586C6E">
              <w:rPr>
                <w:b/>
                <w:bCs/>
                <w:sz w:val="22"/>
                <w:szCs w:val="22"/>
              </w:rPr>
              <w:t xml:space="preserve">  </w:t>
            </w:r>
            <w:r w:rsidR="00563681" w:rsidRPr="00586C6E">
              <w:rPr>
                <w:b/>
                <w:bCs/>
                <w:sz w:val="22"/>
                <w:szCs w:val="22"/>
              </w:rPr>
              <w:t xml:space="preserve">   </w:t>
            </w:r>
            <w:r w:rsidR="002C2688" w:rsidRPr="00586C6E">
              <w:rPr>
                <w:b/>
                <w:bCs/>
                <w:sz w:val="22"/>
                <w:szCs w:val="22"/>
              </w:rPr>
              <w:t xml:space="preserve">                                  </w:t>
            </w:r>
            <w:r w:rsidR="00722833" w:rsidRPr="00586C6E">
              <w:rPr>
                <w:b/>
                <w:bCs/>
                <w:sz w:val="22"/>
                <w:szCs w:val="22"/>
              </w:rPr>
              <w:t xml:space="preserve">                 </w:t>
            </w:r>
            <w:r w:rsidR="00563681" w:rsidRPr="00586C6E">
              <w:rPr>
                <w:b/>
                <w:bCs/>
                <w:sz w:val="22"/>
                <w:szCs w:val="22"/>
              </w:rPr>
              <w:t>5.3%</w:t>
            </w:r>
          </w:p>
        </w:tc>
      </w:tr>
      <w:tr w:rsidR="002C2688" w:rsidRPr="00586C6E" w14:paraId="46297C8F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1352B0B4" w14:textId="09547915" w:rsidR="00563681" w:rsidRPr="00586C6E" w:rsidRDefault="00563681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PRSI Records/Paid Contributions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651A841" w14:textId="08B5CCFC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2,107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5B0AEA9" w14:textId="4185956C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44.1%</w:t>
            </w:r>
          </w:p>
        </w:tc>
      </w:tr>
      <w:tr w:rsidR="002C2688" w:rsidRPr="00586C6E" w14:paraId="23F06F2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74E7D166" w14:textId="3CC21AB7" w:rsidR="00563681" w:rsidRPr="00586C6E" w:rsidRDefault="00563681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PPS Number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7C593A00" w14:textId="7D87A715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06130D43" w14:textId="5821D134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18.8%</w:t>
            </w:r>
          </w:p>
        </w:tc>
      </w:tr>
      <w:tr w:rsidR="002C2688" w:rsidRPr="00586C6E" w14:paraId="7A958564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6DFD96B0" w14:textId="2463AC68" w:rsidR="00563681" w:rsidRPr="00586C6E" w:rsidRDefault="00563681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Credited Contributions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48AC809" w14:textId="1ED9D691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B28E2E7" w14:textId="260948C7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8.6%</w:t>
            </w:r>
          </w:p>
        </w:tc>
      </w:tr>
      <w:tr w:rsidR="002C2688" w:rsidRPr="00586C6E" w14:paraId="6A7BCEE9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53F0F616" w14:textId="4D39B470" w:rsidR="00563681" w:rsidRPr="00586C6E" w:rsidRDefault="00563681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Homemakers Scheme/HomeCaring Periods Scheme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5E1D8E3F" w14:textId="39CC04BB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EE6E213" w14:textId="62DE3DD1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7.3%</w:t>
            </w:r>
          </w:p>
        </w:tc>
      </w:tr>
      <w:tr w:rsidR="002C2688" w:rsidRPr="00586C6E" w14:paraId="180D31EA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65BF4D84" w14:textId="02F66A80" w:rsidR="00563681" w:rsidRPr="00586C6E" w:rsidRDefault="00563681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Voluntary Contributions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70D9D30" w14:textId="42604F5F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0542B47" w14:textId="03D1C310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6.9%</w:t>
            </w:r>
          </w:p>
        </w:tc>
      </w:tr>
      <w:tr w:rsidR="002C2688" w:rsidRPr="00586C6E" w14:paraId="67431A98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793CC9BF" w14:textId="07B0D006" w:rsidR="00563681" w:rsidRPr="00586C6E" w:rsidRDefault="00563681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PRSI Classes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C14A869" w14:textId="369A6A6E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F8DA015" w14:textId="5CF1C777" w:rsidR="00563681" w:rsidRPr="00586C6E" w:rsidRDefault="00563681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6.3%</w:t>
            </w:r>
          </w:p>
        </w:tc>
      </w:tr>
      <w:tr w:rsidR="002C2688" w:rsidRPr="00586C6E" w14:paraId="6E2CE23F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2BF398AF" w14:textId="7878CBA5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Long-Term Carer Contributions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B353A2E" w14:textId="4D297C3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405D0EE" w14:textId="4B8F2CCF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3.7%</w:t>
            </w:r>
          </w:p>
        </w:tc>
      </w:tr>
      <w:tr w:rsidR="002C2688" w:rsidRPr="00586C6E" w14:paraId="6A9251CA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2F47B5DB" w14:textId="4EB6F171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6D185744" w14:textId="5B5959A3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59D8BB32" w14:textId="0DD09709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3.5%</w:t>
            </w:r>
          </w:p>
        </w:tc>
      </w:tr>
      <w:tr w:rsidR="002C2688" w:rsidRPr="00586C6E" w14:paraId="1E2A946B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2F6AD2A7" w14:textId="5B2FED5C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Employer PRSI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0200F76" w14:textId="08FC07B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8FDDD95" w14:textId="528F7CD6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0.8%</w:t>
            </w:r>
          </w:p>
        </w:tc>
      </w:tr>
      <w:tr w:rsidR="002C2688" w:rsidRPr="00586C6E" w14:paraId="2D501622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1ADE96C9" w14:textId="2D610AD2" w:rsidR="00990AE5" w:rsidRPr="00586C6E" w:rsidRDefault="00F07169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684B676C" w14:textId="00F430BE" w:rsidR="00990AE5" w:rsidRPr="00586C6E" w:rsidRDefault="00F07169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4,782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FCB823C" w14:textId="58B1B657" w:rsidR="00990AE5" w:rsidRPr="00586C6E" w:rsidRDefault="00F07169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990AE5" w:rsidRPr="00586C6E" w14:paraId="6549882F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45C5585" w14:textId="6B25D376" w:rsidR="00990AE5" w:rsidRPr="00586C6E" w:rsidRDefault="00990AE5" w:rsidP="004058C3">
            <w:pPr>
              <w:spacing w:after="0" w:line="240" w:lineRule="auto"/>
              <w:rPr>
                <w:b/>
                <w:bCs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Social Welfare Miscellaneous                 </w:t>
            </w:r>
            <w:r w:rsidR="005F0629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</w:t>
            </w:r>
            <w:r w:rsidR="00B66BD4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</w:t>
            </w:r>
            <w:r w:rsidR="00125B60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            </w:t>
            </w:r>
            <w:r w:rsidR="00B66BD4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</w:t>
            </w:r>
            <w:r w:rsidR="00B66BD4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586C6E">
              <w:rPr>
                <w:b/>
                <w:bCs/>
                <w:sz w:val="22"/>
                <w:szCs w:val="22"/>
              </w:rPr>
              <w:t>5.2%</w:t>
            </w:r>
          </w:p>
        </w:tc>
      </w:tr>
      <w:tr w:rsidR="002C2688" w:rsidRPr="00586C6E" w14:paraId="09145600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0FA6E1B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5EE564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1,408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92F029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30.1%</w:t>
            </w:r>
          </w:p>
        </w:tc>
      </w:tr>
      <w:tr w:rsidR="002C2688" w:rsidRPr="00586C6E" w14:paraId="12A6FF7C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C33F046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Public Services Card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F95A910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839990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18.2%</w:t>
            </w:r>
          </w:p>
        </w:tc>
      </w:tr>
      <w:tr w:rsidR="002C2688" w:rsidRPr="00586C6E" w14:paraId="68895974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BA3E72E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Means Tests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9E88CDA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765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970696C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16.4%</w:t>
            </w:r>
          </w:p>
        </w:tc>
      </w:tr>
      <w:tr w:rsidR="002C2688" w:rsidRPr="00586C6E" w14:paraId="42220C01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839B5D7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Habitual Residence Condition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901FF3A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CA9334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14.2%</w:t>
            </w:r>
          </w:p>
        </w:tc>
      </w:tr>
      <w:tr w:rsidR="002C2688" w:rsidRPr="00586C6E" w14:paraId="7DD362F9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F3365F2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MyWelfare.ie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1DAB7C0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EC81B7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9.0%</w:t>
            </w:r>
          </w:p>
        </w:tc>
      </w:tr>
      <w:tr w:rsidR="002C2688" w:rsidRPr="00586C6E" w14:paraId="0CD70392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188DF1F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lastRenderedPageBreak/>
              <w:t>Overpayments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AE47B0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A51BD46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7.1%</w:t>
            </w:r>
          </w:p>
        </w:tc>
      </w:tr>
      <w:tr w:rsidR="002C2688" w:rsidRPr="00586C6E" w14:paraId="63BC4E44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FB0A30D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EU Contributions and Entitlements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6BE73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492EDDF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1.8%</w:t>
            </w:r>
          </w:p>
        </w:tc>
      </w:tr>
      <w:tr w:rsidR="002C2688" w:rsidRPr="00586C6E" w14:paraId="0C70A6E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A1360C4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UK Entitlements Brexit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7425C7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6DA36A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1.6%</w:t>
            </w:r>
          </w:p>
        </w:tc>
      </w:tr>
      <w:tr w:rsidR="002C2688" w:rsidRPr="00586C6E" w14:paraId="52010494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8C09349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Late Claims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EDF3268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39DA64A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0.6%</w:t>
            </w:r>
          </w:p>
        </w:tc>
      </w:tr>
      <w:tr w:rsidR="002C2688" w:rsidRPr="00586C6E" w14:paraId="07A81C6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C19753D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Nominating agent to collect SW payments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7B365F9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85BDFD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0.5%</w:t>
            </w:r>
          </w:p>
        </w:tc>
      </w:tr>
      <w:tr w:rsidR="002C2688" w:rsidRPr="00586C6E" w14:paraId="6977BBA8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75612E0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SW Inspectors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C1F0075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C613D40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0.5%</w:t>
            </w:r>
          </w:p>
        </w:tc>
      </w:tr>
      <w:tr w:rsidR="002C2688" w:rsidRPr="00586C6E" w14:paraId="6D1D91FC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166FC2A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EU/EEA/Switzerland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6E4B2D2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EACFAC8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0.2%</w:t>
            </w:r>
          </w:p>
        </w:tc>
      </w:tr>
      <w:tr w:rsidR="002C2688" w:rsidRPr="00586C6E" w14:paraId="632D5121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2766DC1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Insolvency Payments Scheme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45D4CAC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A5327DD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0.1%</w:t>
            </w:r>
          </w:p>
        </w:tc>
      </w:tr>
      <w:tr w:rsidR="002C2688" w:rsidRPr="00586C6E" w14:paraId="1E60B897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C8E44F7" w14:textId="77777777" w:rsidR="00990AE5" w:rsidRPr="00586C6E" w:rsidRDefault="00990AE5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F899BC" w14:textId="77777777" w:rsidR="00990AE5" w:rsidRPr="00586C6E" w:rsidRDefault="00990AE5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4,672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2EB19D" w14:textId="77777777" w:rsidR="00990AE5" w:rsidRPr="00586C6E" w:rsidRDefault="00990AE5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990AE5" w:rsidRPr="00586C6E" w14:paraId="4C32D8AC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782B3A6" w14:textId="695F5685" w:rsidR="00990AE5" w:rsidRPr="00586C6E" w:rsidRDefault="00990AE5" w:rsidP="004058C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Activation Schemes, Education and Training                            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</w:t>
            </w:r>
            <w:r w:rsidR="00125B60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</w:t>
            </w:r>
            <w:r w:rsidR="00676E9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</w:t>
            </w:r>
            <w:r w:rsidRPr="00586C6E">
              <w:rPr>
                <w:b/>
                <w:bCs/>
                <w:sz w:val="22"/>
                <w:szCs w:val="22"/>
              </w:rPr>
              <w:t>1.8%</w:t>
            </w:r>
          </w:p>
        </w:tc>
      </w:tr>
      <w:tr w:rsidR="002C2688" w:rsidRPr="00586C6E" w14:paraId="11E20AC6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5AF1181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Back to Education Allowance (BTEA)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83F6598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32948FD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50.0%</w:t>
            </w:r>
          </w:p>
        </w:tc>
      </w:tr>
      <w:tr w:rsidR="002C2688" w:rsidRPr="00586C6E" w14:paraId="3308A16A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7C400F5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Back to Work Enterprise Allowance (BTWEA)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565853B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2B4F430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17.7%</w:t>
            </w:r>
          </w:p>
        </w:tc>
      </w:tr>
      <w:tr w:rsidR="002C2688" w:rsidRPr="00586C6E" w14:paraId="33155566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D254063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Community Employment (CE)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92410D9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7A72A7B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16.5%</w:t>
            </w:r>
          </w:p>
        </w:tc>
      </w:tr>
      <w:tr w:rsidR="002C2688" w:rsidRPr="00586C6E" w14:paraId="47F1D77A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47A040B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Tús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F9F99A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BE98074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3.7%</w:t>
            </w:r>
          </w:p>
        </w:tc>
      </w:tr>
      <w:tr w:rsidR="002C2688" w:rsidRPr="00586C6E" w14:paraId="2B5E2472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3E44E8B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Part-time Education Option (PTEO)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A60191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96CDB2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2.9%</w:t>
            </w:r>
          </w:p>
        </w:tc>
      </w:tr>
      <w:tr w:rsidR="002C2688" w:rsidRPr="00586C6E" w14:paraId="663D8EE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5A8E9C7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Short-Term Enterprise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C1D5241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BE97516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2.2%</w:t>
            </w:r>
          </w:p>
        </w:tc>
      </w:tr>
      <w:tr w:rsidR="002C2688" w:rsidRPr="00586C6E" w14:paraId="617CD6E2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2A1144E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JobPath - Seetec/Turas Nua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94D7FD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12EF513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1.7%</w:t>
            </w:r>
          </w:p>
        </w:tc>
      </w:tr>
      <w:tr w:rsidR="002C2688" w:rsidRPr="00586C6E" w14:paraId="2EDF0EE0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D4C750B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LAES (Local Area Employment Services)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932F1C6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2721D69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1.6%</w:t>
            </w:r>
          </w:p>
        </w:tc>
      </w:tr>
      <w:tr w:rsidR="002C2688" w:rsidRPr="00586C6E" w14:paraId="165F1E1A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E4A7706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Rural Social Scheme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9C4FE3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55A5AE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1.3%</w:t>
            </w:r>
          </w:p>
        </w:tc>
      </w:tr>
      <w:tr w:rsidR="002C2688" w:rsidRPr="00586C6E" w14:paraId="7E18E25F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A12836A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Part-Time Job Incentive Scheme (PTJI)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486DA6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CA3419C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1.1%</w:t>
            </w:r>
          </w:p>
        </w:tc>
      </w:tr>
      <w:tr w:rsidR="002C2688" w:rsidRPr="00586C6E" w14:paraId="3A925C31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BB15B83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JobsPlus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E1073F2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3D166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0.8%</w:t>
            </w:r>
          </w:p>
        </w:tc>
      </w:tr>
      <w:tr w:rsidR="002C2688" w:rsidRPr="00586C6E" w14:paraId="50006D63" w14:textId="77777777" w:rsidTr="00586C6E">
        <w:trPr>
          <w:trHeight w:val="60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BE7A2AA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Work Placement Experience Programme (WPEP)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0580596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BDB1D50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0.4%</w:t>
            </w:r>
          </w:p>
        </w:tc>
      </w:tr>
      <w:tr w:rsidR="002C2688" w:rsidRPr="00586C6E" w14:paraId="5BFC49E9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B715B63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JobBridge/ First Steps - Youth Internship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6CBB870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6F6180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0.1%</w:t>
            </w:r>
          </w:p>
        </w:tc>
      </w:tr>
      <w:tr w:rsidR="002C2688" w:rsidRPr="00586C6E" w14:paraId="4BE7FCFA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8AC4463" w14:textId="77777777" w:rsidR="00990AE5" w:rsidRPr="00586C6E" w:rsidRDefault="00990AE5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3C87484" w14:textId="77777777" w:rsidR="00990AE5" w:rsidRPr="00586C6E" w:rsidRDefault="00990AE5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1,585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2AAAD2" w14:textId="77777777" w:rsidR="00990AE5" w:rsidRPr="00586C6E" w:rsidRDefault="00990AE5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990AE5" w:rsidRPr="00586C6E" w14:paraId="5489E791" w14:textId="77777777" w:rsidTr="00586C6E">
        <w:trPr>
          <w:trHeight w:val="289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DE0CFA0" w14:textId="29D58085" w:rsidR="00990AE5" w:rsidRPr="00586C6E" w:rsidRDefault="00990AE5" w:rsidP="004058C3">
            <w:pPr>
              <w:spacing w:after="0" w:line="240" w:lineRule="auto"/>
              <w:rPr>
                <w:b/>
                <w:bCs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Appeals   </w:t>
            </w:r>
            <w:r w:rsidRPr="00586C6E">
              <w:rPr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r w:rsidR="00676E98" w:rsidRPr="00586C6E">
              <w:rPr>
                <w:b/>
                <w:bCs/>
                <w:sz w:val="22"/>
                <w:szCs w:val="22"/>
              </w:rPr>
              <w:t xml:space="preserve">   </w:t>
            </w:r>
            <w:r w:rsidR="00EB4845" w:rsidRPr="00586C6E">
              <w:rPr>
                <w:b/>
                <w:bCs/>
                <w:sz w:val="22"/>
                <w:szCs w:val="22"/>
              </w:rPr>
              <w:t xml:space="preserve">                                   </w:t>
            </w:r>
            <w:r w:rsidR="00125B60" w:rsidRPr="00586C6E">
              <w:rPr>
                <w:b/>
                <w:bCs/>
                <w:sz w:val="22"/>
                <w:szCs w:val="22"/>
              </w:rPr>
              <w:t xml:space="preserve"> </w:t>
            </w:r>
            <w:r w:rsidR="00EB4845" w:rsidRPr="00586C6E">
              <w:rPr>
                <w:b/>
                <w:bCs/>
                <w:sz w:val="22"/>
                <w:szCs w:val="22"/>
              </w:rPr>
              <w:t xml:space="preserve">                                    </w:t>
            </w:r>
            <w:r w:rsidRPr="00586C6E">
              <w:rPr>
                <w:b/>
                <w:bCs/>
                <w:sz w:val="22"/>
                <w:szCs w:val="22"/>
              </w:rPr>
              <w:t xml:space="preserve">  </w:t>
            </w:r>
            <w:r w:rsidR="002C2688" w:rsidRPr="00586C6E">
              <w:rPr>
                <w:b/>
                <w:bCs/>
                <w:sz w:val="22"/>
                <w:szCs w:val="22"/>
              </w:rPr>
              <w:t xml:space="preserve">                                   </w:t>
            </w:r>
            <w:r w:rsidRPr="00586C6E">
              <w:rPr>
                <w:b/>
                <w:bCs/>
                <w:sz w:val="22"/>
                <w:szCs w:val="22"/>
              </w:rPr>
              <w:t>1.6%</w:t>
            </w:r>
          </w:p>
        </w:tc>
      </w:tr>
      <w:tr w:rsidR="002C2688" w:rsidRPr="00586C6E" w14:paraId="56F0DFB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9859997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Disability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5620F9F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FE1177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37.3%</w:t>
            </w:r>
          </w:p>
        </w:tc>
      </w:tr>
      <w:tr w:rsidR="002C2688" w:rsidRPr="00586C6E" w14:paraId="03923038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1C449DF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Invalidity 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52E5A7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140F20A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14.1%</w:t>
            </w:r>
          </w:p>
        </w:tc>
      </w:tr>
      <w:tr w:rsidR="002C2688" w:rsidRPr="00586C6E" w14:paraId="400ADDA7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A508BDE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Carer's Allowance/Benefit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F128DFB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5DD90DB" w14:textId="2B5C9596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13.0%</w:t>
            </w:r>
          </w:p>
        </w:tc>
      </w:tr>
      <w:tr w:rsidR="002C2688" w:rsidRPr="00586C6E" w14:paraId="3CC3997B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BE61D11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5F6075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857419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8.4%</w:t>
            </w:r>
          </w:p>
        </w:tc>
      </w:tr>
      <w:tr w:rsidR="002C2688" w:rsidRPr="00586C6E" w14:paraId="717691D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6E3D894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Jobseeker's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F877E3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1C1C4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8.3%</w:t>
            </w:r>
          </w:p>
        </w:tc>
      </w:tr>
      <w:tr w:rsidR="002C2688" w:rsidRPr="00586C6E" w14:paraId="793C684E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CC58CBD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Domiciliary Care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B5324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F57E015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4.5%</w:t>
            </w:r>
          </w:p>
        </w:tc>
      </w:tr>
      <w:tr w:rsidR="002C2688" w:rsidRPr="00586C6E" w14:paraId="5E2ACD5B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D7A8102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Supplementary Welfare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FB3E930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405D0DF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3.8%</w:t>
            </w:r>
          </w:p>
        </w:tc>
      </w:tr>
      <w:tr w:rsidR="002C2688" w:rsidRPr="00586C6E" w14:paraId="1E5BA9C7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B150DCD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State Pension (Non-Contributory)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1BF40F8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12C5F96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2.3%</w:t>
            </w:r>
          </w:p>
        </w:tc>
      </w:tr>
      <w:tr w:rsidR="002C2688" w:rsidRPr="00586C6E" w14:paraId="4B4CBBE5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D8CF82F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State Pension (Contributory)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419ED97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1BC992A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1.6%</w:t>
            </w:r>
          </w:p>
        </w:tc>
      </w:tr>
      <w:tr w:rsidR="002C2688" w:rsidRPr="00586C6E" w14:paraId="3F8C7CF7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9D11FA6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Working Family Payment (WFP)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6B80CE1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DD2EAF5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1.4%</w:t>
            </w:r>
          </w:p>
        </w:tc>
      </w:tr>
      <w:tr w:rsidR="002C2688" w:rsidRPr="00586C6E" w14:paraId="08B7714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BA2DFE8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Jobseeker's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2748866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BA15E9C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1.3%</w:t>
            </w:r>
          </w:p>
        </w:tc>
      </w:tr>
      <w:tr w:rsidR="002C2688" w:rsidRPr="00586C6E" w14:paraId="60FF7B0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0824D4D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Child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1DC2A89" w14:textId="2AFF38CB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658A004" w14:textId="5AB7ED7A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1.1%</w:t>
            </w:r>
          </w:p>
        </w:tc>
      </w:tr>
      <w:tr w:rsidR="002C2688" w:rsidRPr="00586C6E" w14:paraId="5146AB12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689014E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Jobseeker's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03F44A" w14:textId="42BC3530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FBF8463" w14:textId="4DBA3F0B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1.3%</w:t>
            </w:r>
          </w:p>
        </w:tc>
      </w:tr>
      <w:tr w:rsidR="002C2688" w:rsidRPr="00586C6E" w14:paraId="457EAB5E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ED03CA5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Illness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5B33658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738B4D9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1.1%</w:t>
            </w:r>
          </w:p>
        </w:tc>
      </w:tr>
      <w:tr w:rsidR="002C2688" w:rsidRPr="00586C6E" w14:paraId="1B3ECD5D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7811A61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One Parent Family Payment (OFP)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EDDBDED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CBF9E6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1.0%</w:t>
            </w:r>
          </w:p>
        </w:tc>
      </w:tr>
      <w:tr w:rsidR="002C2688" w:rsidRPr="00586C6E" w14:paraId="7FF52778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3593656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Carer's Support Grant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865B02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5E266E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0.8%</w:t>
            </w:r>
          </w:p>
        </w:tc>
      </w:tr>
      <w:tr w:rsidR="002C2688" w:rsidRPr="00586C6E" w14:paraId="041086E8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AF81ACE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Widow/Widower/surviving Civil Partner 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B29468D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84507D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0.1%</w:t>
            </w:r>
          </w:p>
        </w:tc>
      </w:tr>
      <w:tr w:rsidR="002C2688" w:rsidRPr="00586C6E" w14:paraId="1D031863" w14:textId="77777777" w:rsidTr="00586C6E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28649378" w14:textId="71E0FDE5" w:rsidR="00A418F9" w:rsidRPr="00586C6E" w:rsidRDefault="00A418F9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357A17DE" w14:textId="463536F9" w:rsidR="00A418F9" w:rsidRPr="00586C6E" w:rsidRDefault="00A418F9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1,412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27F27F1C" w14:textId="4A756CC6" w:rsidR="00A418F9" w:rsidRPr="00586C6E" w:rsidRDefault="00A418F9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100%</w:t>
            </w:r>
          </w:p>
        </w:tc>
      </w:tr>
    </w:tbl>
    <w:p w14:paraId="169BAF5D" w14:textId="77777777" w:rsidR="00586C6E" w:rsidRDefault="00586C6E">
      <w:r>
        <w:br w:type="page"/>
      </w:r>
    </w:p>
    <w:tbl>
      <w:tblPr>
        <w:tblW w:w="14553" w:type="dxa"/>
        <w:tblLook w:val="04A0" w:firstRow="1" w:lastRow="0" w:firstColumn="1" w:lastColumn="0" w:noHBand="0" w:noVBand="1"/>
      </w:tblPr>
      <w:tblGrid>
        <w:gridCol w:w="5529"/>
        <w:gridCol w:w="2126"/>
        <w:gridCol w:w="2693"/>
        <w:gridCol w:w="4205"/>
      </w:tblGrid>
      <w:tr w:rsidR="00990AE5" w:rsidRPr="00586C6E" w14:paraId="71C554EA" w14:textId="77777777" w:rsidTr="005F0629">
        <w:trPr>
          <w:trHeight w:val="315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BAB9D7" w14:textId="75D5654A" w:rsidR="00990AE5" w:rsidRPr="00586C6E" w:rsidRDefault="00990AE5" w:rsidP="004058C3">
            <w:pPr>
              <w:spacing w:after="0" w:line="240" w:lineRule="auto"/>
              <w:rPr>
                <w:b/>
                <w:bCs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Death Related Benefits                                      </w:t>
            </w:r>
            <w:r w:rsidR="00676E9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</w:t>
            </w:r>
            <w:r w:rsidR="00125B60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="00125B60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</w:t>
            </w: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="002778FD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</w:t>
            </w:r>
            <w:r w:rsidRPr="00586C6E">
              <w:rPr>
                <w:b/>
                <w:bCs/>
                <w:sz w:val="22"/>
                <w:szCs w:val="22"/>
              </w:rPr>
              <w:t>1.5%</w:t>
            </w:r>
          </w:p>
        </w:tc>
        <w:tc>
          <w:tcPr>
            <w:tcW w:w="4205" w:type="dxa"/>
            <w:vAlign w:val="center"/>
            <w:hideMark/>
          </w:tcPr>
          <w:p w14:paraId="7A783CE7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25605163" w14:textId="77777777" w:rsidTr="005F0629">
        <w:trPr>
          <w:trHeight w:val="277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A577D89" w14:textId="6B5BD0CC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Widow, Widower or Surviving Civil Partner's (Contributory) 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977B33B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781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23BCB2" w14:textId="254433BC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58.3%</w:t>
            </w:r>
          </w:p>
        </w:tc>
        <w:tc>
          <w:tcPr>
            <w:tcW w:w="4205" w:type="dxa"/>
            <w:vAlign w:val="center"/>
            <w:hideMark/>
          </w:tcPr>
          <w:p w14:paraId="460ABF79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34E87344" w14:textId="77777777" w:rsidTr="005F0629">
        <w:trPr>
          <w:trHeight w:val="253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B1F00ED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Help with Funeral Costs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738C9D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EE66171" w14:textId="44816845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14.0%</w:t>
            </w:r>
          </w:p>
        </w:tc>
        <w:tc>
          <w:tcPr>
            <w:tcW w:w="4205" w:type="dxa"/>
            <w:vAlign w:val="center"/>
            <w:hideMark/>
          </w:tcPr>
          <w:p w14:paraId="2734F003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7092AE8F" w14:textId="77777777" w:rsidTr="005F0629">
        <w:trPr>
          <w:trHeight w:val="271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49AB8D1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Widow's, Widower's or Surviving Civil Partner's (Non-Contributory) 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B0FDD8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073217" w14:textId="338A0904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12.9%</w:t>
            </w:r>
          </w:p>
        </w:tc>
        <w:tc>
          <w:tcPr>
            <w:tcW w:w="4205" w:type="dxa"/>
            <w:vAlign w:val="center"/>
            <w:hideMark/>
          </w:tcPr>
          <w:p w14:paraId="6A198866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6469BEE1" w14:textId="77777777" w:rsidTr="005F0629">
        <w:trPr>
          <w:trHeight w:val="275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63F874E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Widow/Widower/Surviving Civil Partner Grant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368FC9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36BA54" w14:textId="5188B226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8.2%</w:t>
            </w:r>
          </w:p>
        </w:tc>
        <w:tc>
          <w:tcPr>
            <w:tcW w:w="4205" w:type="dxa"/>
            <w:vAlign w:val="center"/>
            <w:hideMark/>
          </w:tcPr>
          <w:p w14:paraId="74971E13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61C0EC48" w14:textId="77777777" w:rsidTr="005F0629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7CCA0DE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Guardian's Payment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444A67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E71E85" w14:textId="0427318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5.8%</w:t>
            </w:r>
          </w:p>
        </w:tc>
        <w:tc>
          <w:tcPr>
            <w:tcW w:w="4205" w:type="dxa"/>
            <w:vAlign w:val="center"/>
            <w:hideMark/>
          </w:tcPr>
          <w:p w14:paraId="0B8AAAA3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3BD742E5" w14:textId="77777777" w:rsidTr="005F0629">
        <w:trPr>
          <w:trHeight w:val="26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135616B" w14:textId="34AD123B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Special Funeral Grant (</w:t>
            </w:r>
            <w:r w:rsidR="009E5DAF" w:rsidRPr="00586C6E">
              <w:rPr>
                <w:i/>
                <w:iCs/>
                <w:sz w:val="20"/>
                <w:szCs w:val="20"/>
              </w:rPr>
              <w:t>Occupational</w:t>
            </w:r>
            <w:r w:rsidRPr="00586C6E">
              <w:rPr>
                <w:i/>
                <w:iCs/>
                <w:sz w:val="20"/>
                <w:szCs w:val="20"/>
              </w:rPr>
              <w:t xml:space="preserve"> Injuries Scheme only)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7E728DA" w14:textId="77777777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170B03" w14:textId="6EA3B3B9" w:rsidR="00990AE5" w:rsidRPr="00586C6E" w:rsidRDefault="00990AE5" w:rsidP="00F70EF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0.7%</w:t>
            </w:r>
          </w:p>
        </w:tc>
        <w:tc>
          <w:tcPr>
            <w:tcW w:w="4205" w:type="dxa"/>
            <w:vAlign w:val="center"/>
            <w:hideMark/>
          </w:tcPr>
          <w:p w14:paraId="210E476F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45B2C938" w14:textId="77777777" w:rsidTr="005F0629">
        <w:trPr>
          <w:trHeight w:val="25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C2E0F4D" w14:textId="77777777" w:rsidR="00990AE5" w:rsidRPr="00586C6E" w:rsidRDefault="00990AE5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E0DDB16" w14:textId="77777777" w:rsidR="00990AE5" w:rsidRPr="00586C6E" w:rsidRDefault="00990AE5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1,339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49A93DE" w14:textId="77777777" w:rsidR="00990AE5" w:rsidRPr="00586C6E" w:rsidRDefault="00990AE5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4205" w:type="dxa"/>
            <w:vAlign w:val="center"/>
            <w:hideMark/>
          </w:tcPr>
          <w:p w14:paraId="092759F5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990AE5" w:rsidRPr="00586C6E" w14:paraId="1B64CB71" w14:textId="77777777" w:rsidTr="005F0629">
        <w:trPr>
          <w:trHeight w:val="263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6DE528A" w14:textId="6B44B67F" w:rsidR="00990AE5" w:rsidRPr="00586C6E" w:rsidRDefault="00990AE5" w:rsidP="00F70EFC">
            <w:pPr>
              <w:spacing w:after="0" w:line="240" w:lineRule="auto"/>
              <w:rPr>
                <w:b/>
                <w:bCs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Benefits Check                                        </w:t>
            </w:r>
            <w:r w:rsidR="00676E9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</w:t>
            </w:r>
            <w:r w:rsidR="00F70EFC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="00125B60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                       </w:t>
            </w:r>
            <w:r w:rsidR="00F70EFC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</w:t>
            </w:r>
            <w:r w:rsidR="002778FD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586C6E">
              <w:rPr>
                <w:b/>
                <w:bCs/>
                <w:sz w:val="22"/>
                <w:szCs w:val="22"/>
              </w:rPr>
              <w:t>1.4%</w:t>
            </w:r>
          </w:p>
        </w:tc>
        <w:tc>
          <w:tcPr>
            <w:tcW w:w="4205" w:type="dxa"/>
            <w:vAlign w:val="center"/>
            <w:hideMark/>
          </w:tcPr>
          <w:p w14:paraId="4A11793C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335AED68" w14:textId="77777777" w:rsidTr="005F0629">
        <w:trPr>
          <w:trHeight w:val="23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vAlign w:val="center"/>
            <w:hideMark/>
          </w:tcPr>
          <w:p w14:paraId="04DD5CF6" w14:textId="77777777" w:rsidR="00990AE5" w:rsidRPr="00586C6E" w:rsidRDefault="00990AE5" w:rsidP="00D8692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Social Welfare - Benefits Check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B43F19B" w14:textId="77777777" w:rsidR="00990AE5" w:rsidRPr="00586C6E" w:rsidRDefault="00990AE5" w:rsidP="00D869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1,227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8988F8A" w14:textId="77777777" w:rsidR="00990AE5" w:rsidRPr="00586C6E" w:rsidRDefault="00990AE5" w:rsidP="00D869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 </w:t>
            </w:r>
          </w:p>
        </w:tc>
        <w:tc>
          <w:tcPr>
            <w:tcW w:w="4205" w:type="dxa"/>
            <w:vAlign w:val="center"/>
            <w:hideMark/>
          </w:tcPr>
          <w:p w14:paraId="4FC77EDE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59CF4277" w14:textId="77777777" w:rsidTr="005F0629">
        <w:trPr>
          <w:trHeight w:val="257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25271B1" w14:textId="77777777" w:rsidR="00990AE5" w:rsidRPr="00586C6E" w:rsidRDefault="00990AE5" w:rsidP="00D869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E07501" w14:textId="77777777" w:rsidR="00990AE5" w:rsidRPr="00586C6E" w:rsidRDefault="00990AE5" w:rsidP="00D8692F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1,227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F5A22D" w14:textId="77777777" w:rsidR="00990AE5" w:rsidRPr="00586C6E" w:rsidRDefault="00990AE5" w:rsidP="00D8692F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4205" w:type="dxa"/>
            <w:vAlign w:val="center"/>
            <w:hideMark/>
          </w:tcPr>
          <w:p w14:paraId="3A5B40BC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990AE5" w:rsidRPr="00586C6E" w14:paraId="57429859" w14:textId="77777777" w:rsidTr="005F0629">
        <w:trPr>
          <w:trHeight w:val="289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F35A4B8" w14:textId="1ABB007A" w:rsidR="00990AE5" w:rsidRPr="00586C6E" w:rsidRDefault="00990AE5" w:rsidP="00F70EFC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Payments and Work                                       </w:t>
            </w:r>
            <w:r w:rsidR="00676E9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70EFC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</w:t>
            </w:r>
            <w:r w:rsidR="00125B60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    </w:t>
            </w:r>
            <w:r w:rsidR="00F70EFC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</w:t>
            </w: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B4845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="002778FD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</w:t>
            </w:r>
            <w:r w:rsidR="002C2688" w:rsidRPr="00586C6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586C6E">
              <w:rPr>
                <w:b/>
                <w:bCs/>
                <w:sz w:val="22"/>
                <w:szCs w:val="22"/>
              </w:rPr>
              <w:t>0.9%</w:t>
            </w:r>
          </w:p>
        </w:tc>
        <w:tc>
          <w:tcPr>
            <w:tcW w:w="4205" w:type="dxa"/>
            <w:vAlign w:val="center"/>
            <w:hideMark/>
          </w:tcPr>
          <w:p w14:paraId="47FD30B6" w14:textId="77777777" w:rsidR="00990AE5" w:rsidRPr="00586C6E" w:rsidRDefault="00990AE5" w:rsidP="00990A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C2688" w:rsidRPr="00586C6E" w14:paraId="41F66C58" w14:textId="77777777" w:rsidTr="00696110">
        <w:trPr>
          <w:trHeight w:val="297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vAlign w:val="center"/>
            <w:hideMark/>
          </w:tcPr>
          <w:p w14:paraId="30DB6D31" w14:textId="77777777" w:rsidR="00990AE5" w:rsidRPr="00586C6E" w:rsidRDefault="00990AE5" w:rsidP="00F70EF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Social Welfare - Payments and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F8C8FD" w14:textId="77777777" w:rsidR="00990AE5" w:rsidRPr="00586C6E" w:rsidRDefault="00990AE5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1F438A19" w14:textId="77777777" w:rsidR="00990AE5" w:rsidRPr="00586C6E" w:rsidRDefault="00990AE5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5" w:type="dxa"/>
            <w:vAlign w:val="center"/>
            <w:hideMark/>
          </w:tcPr>
          <w:p w14:paraId="7D15A20B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25C684C1" w14:textId="77777777" w:rsidTr="00696110">
        <w:trPr>
          <w:trHeight w:val="259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5A7389F" w14:textId="77777777" w:rsidR="00990AE5" w:rsidRPr="00586C6E" w:rsidRDefault="00990AE5" w:rsidP="00F70E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B33FEA3" w14:textId="77777777" w:rsidR="00990AE5" w:rsidRPr="00586C6E" w:rsidRDefault="00990AE5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4BC62A5" w14:textId="77777777" w:rsidR="00990AE5" w:rsidRPr="00586C6E" w:rsidRDefault="00990AE5" w:rsidP="00F70EF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4205" w:type="dxa"/>
            <w:vAlign w:val="center"/>
            <w:hideMark/>
          </w:tcPr>
          <w:p w14:paraId="3A212CF5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990AE5" w:rsidRPr="00586C6E" w14:paraId="02ECE5ED" w14:textId="77777777" w:rsidTr="005F0629">
        <w:trPr>
          <w:trHeight w:val="310"/>
        </w:trPr>
        <w:tc>
          <w:tcPr>
            <w:tcW w:w="1034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BDF9A1B" w14:textId="6E55A19B" w:rsidR="00990AE5" w:rsidRPr="00586C6E" w:rsidRDefault="00990AE5" w:rsidP="00F70EFC">
            <w:pPr>
              <w:spacing w:after="0" w:line="240" w:lineRule="auto"/>
              <w:rPr>
                <w:b/>
                <w:bCs/>
              </w:rPr>
            </w:pPr>
            <w:r w:rsidRPr="00586C6E">
              <w:rPr>
                <w:b/>
                <w:bCs/>
                <w:color w:val="FFFFFF" w:themeColor="background1"/>
                <w:sz w:val="22"/>
                <w:szCs w:val="22"/>
              </w:rPr>
              <w:t>Farmers</w:t>
            </w:r>
            <w:r w:rsidRPr="00586C6E"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  <w:r w:rsidR="00676E98" w:rsidRPr="00586C6E">
              <w:rPr>
                <w:b/>
                <w:bCs/>
                <w:sz w:val="22"/>
                <w:szCs w:val="22"/>
              </w:rPr>
              <w:t xml:space="preserve">     </w:t>
            </w:r>
            <w:r w:rsidR="00EB4845" w:rsidRPr="00586C6E">
              <w:rPr>
                <w:b/>
                <w:bCs/>
                <w:sz w:val="22"/>
                <w:szCs w:val="22"/>
              </w:rPr>
              <w:t xml:space="preserve">                                     </w:t>
            </w:r>
            <w:r w:rsidR="00125B60" w:rsidRPr="00586C6E">
              <w:rPr>
                <w:b/>
                <w:bCs/>
                <w:sz w:val="22"/>
                <w:szCs w:val="22"/>
              </w:rPr>
              <w:t xml:space="preserve">  </w:t>
            </w:r>
            <w:r w:rsidR="00EB4845" w:rsidRPr="00586C6E">
              <w:rPr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="002C2688" w:rsidRPr="00586C6E">
              <w:rPr>
                <w:b/>
                <w:bCs/>
                <w:sz w:val="22"/>
                <w:szCs w:val="22"/>
              </w:rPr>
              <w:t xml:space="preserve">                    </w:t>
            </w:r>
            <w:r w:rsidR="002778FD" w:rsidRPr="00586C6E">
              <w:rPr>
                <w:b/>
                <w:bCs/>
                <w:sz w:val="22"/>
                <w:szCs w:val="22"/>
              </w:rPr>
              <w:t xml:space="preserve">              </w:t>
            </w:r>
            <w:r w:rsidR="002C2688" w:rsidRPr="00586C6E">
              <w:rPr>
                <w:b/>
                <w:bCs/>
                <w:sz w:val="22"/>
                <w:szCs w:val="22"/>
              </w:rPr>
              <w:t xml:space="preserve"> </w:t>
            </w:r>
            <w:r w:rsidR="00F70EFC" w:rsidRPr="00586C6E">
              <w:rPr>
                <w:b/>
                <w:bCs/>
                <w:sz w:val="22"/>
                <w:szCs w:val="22"/>
              </w:rPr>
              <w:t xml:space="preserve"> </w:t>
            </w:r>
            <w:r w:rsidRPr="00586C6E">
              <w:rPr>
                <w:b/>
                <w:bCs/>
                <w:sz w:val="22"/>
                <w:szCs w:val="22"/>
              </w:rPr>
              <w:t>0.1%</w:t>
            </w:r>
          </w:p>
        </w:tc>
        <w:tc>
          <w:tcPr>
            <w:tcW w:w="4205" w:type="dxa"/>
            <w:vAlign w:val="center"/>
            <w:hideMark/>
          </w:tcPr>
          <w:p w14:paraId="5C27EE46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4D17A289" w14:textId="77777777" w:rsidTr="005F0629">
        <w:trPr>
          <w:trHeight w:val="258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53D5730" w14:textId="77777777" w:rsidR="00990AE5" w:rsidRPr="00586C6E" w:rsidRDefault="00990AE5" w:rsidP="00D8692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Farm Assist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D46BF15" w14:textId="77777777" w:rsidR="00990AE5" w:rsidRPr="00586C6E" w:rsidRDefault="00990AE5" w:rsidP="00D869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E1D4FAA" w14:textId="77777777" w:rsidR="00990AE5" w:rsidRPr="00586C6E" w:rsidRDefault="00990AE5" w:rsidP="00D869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91.50%</w:t>
            </w:r>
          </w:p>
        </w:tc>
        <w:tc>
          <w:tcPr>
            <w:tcW w:w="4205" w:type="dxa"/>
            <w:vAlign w:val="center"/>
            <w:hideMark/>
          </w:tcPr>
          <w:p w14:paraId="1585E7BB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6F5DBDB3" w14:textId="77777777" w:rsidTr="0025314B">
        <w:trPr>
          <w:trHeight w:val="345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EC3450D" w14:textId="77777777" w:rsidR="00990AE5" w:rsidRPr="00586C6E" w:rsidRDefault="00990AE5" w:rsidP="00D8692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6C6E">
              <w:rPr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43CD10C" w14:textId="77777777" w:rsidR="00990AE5" w:rsidRPr="00586C6E" w:rsidRDefault="00990AE5" w:rsidP="00D869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2CA494" w14:textId="77777777" w:rsidR="00990AE5" w:rsidRPr="00586C6E" w:rsidRDefault="00990AE5" w:rsidP="00D869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8.50%</w:t>
            </w:r>
          </w:p>
        </w:tc>
        <w:tc>
          <w:tcPr>
            <w:tcW w:w="4205" w:type="dxa"/>
            <w:vAlign w:val="center"/>
            <w:hideMark/>
          </w:tcPr>
          <w:p w14:paraId="07B2BF33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4B6543DC" w14:textId="77777777" w:rsidTr="00696110">
        <w:trPr>
          <w:trHeight w:val="126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A436260" w14:textId="77777777" w:rsidR="00990AE5" w:rsidRPr="00586C6E" w:rsidRDefault="00990AE5" w:rsidP="00D8692F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T</w:t>
            </w:r>
            <w:r w:rsidRPr="00586C6E">
              <w:rPr>
                <w:sz w:val="20"/>
                <w:szCs w:val="20"/>
                <w:shd w:val="clear" w:color="auto" w:fill="62A39F" w:themeFill="accent6"/>
              </w:rPr>
              <w:t>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62201E0" w14:textId="77777777" w:rsidR="00990AE5" w:rsidRPr="00586C6E" w:rsidRDefault="00990AE5" w:rsidP="00D869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1AEB1BC" w14:textId="77777777" w:rsidR="00990AE5" w:rsidRPr="00586C6E" w:rsidRDefault="00990AE5" w:rsidP="00D869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4205" w:type="dxa"/>
            <w:vAlign w:val="center"/>
            <w:hideMark/>
          </w:tcPr>
          <w:p w14:paraId="05E55E74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  <w:tr w:rsidR="002C2688" w:rsidRPr="00586C6E" w14:paraId="4130EDFD" w14:textId="77777777" w:rsidTr="005F0629">
        <w:trPr>
          <w:trHeight w:val="261"/>
        </w:trPr>
        <w:tc>
          <w:tcPr>
            <w:tcW w:w="5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6E91FD9" w14:textId="00B63643" w:rsidR="00990AE5" w:rsidRPr="00586C6E" w:rsidRDefault="00990AE5" w:rsidP="002778FD">
            <w:pPr>
              <w:spacing w:after="0" w:line="240" w:lineRule="auto"/>
              <w:rPr>
                <w:sz w:val="22"/>
                <w:szCs w:val="22"/>
              </w:rPr>
            </w:pPr>
            <w:r w:rsidRPr="00586C6E">
              <w:rPr>
                <w:b/>
                <w:bCs/>
                <w:sz w:val="22"/>
                <w:szCs w:val="22"/>
              </w:rPr>
              <w:t>Total Social Welfare Queries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87781E7" w14:textId="77777777" w:rsidR="00990AE5" w:rsidRPr="00586C6E" w:rsidRDefault="00990AE5" w:rsidP="0063166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586C6E">
              <w:rPr>
                <w:b/>
                <w:bCs/>
                <w:sz w:val="22"/>
                <w:szCs w:val="22"/>
              </w:rPr>
              <w:t>90,281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BBF4BFD" w14:textId="694C5153" w:rsidR="00990AE5" w:rsidRPr="00586C6E" w:rsidRDefault="00990AE5" w:rsidP="002778F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05" w:type="dxa"/>
            <w:vAlign w:val="center"/>
            <w:hideMark/>
          </w:tcPr>
          <w:p w14:paraId="54D31747" w14:textId="77777777" w:rsidR="00990AE5" w:rsidRPr="00586C6E" w:rsidRDefault="00990AE5" w:rsidP="00990AE5">
            <w:pPr>
              <w:rPr>
                <w:sz w:val="20"/>
                <w:szCs w:val="20"/>
              </w:rPr>
            </w:pPr>
          </w:p>
        </w:tc>
      </w:tr>
    </w:tbl>
    <w:p w14:paraId="6B67091B" w14:textId="77777777" w:rsidR="0040035B" w:rsidRDefault="0040035B" w:rsidP="00942712">
      <w:pPr>
        <w:pStyle w:val="Heading1"/>
        <w:jc w:val="both"/>
        <w:rPr>
          <w:rFonts w:ascii="Calibri" w:hAnsi="Calibri" w:cs="Calibri"/>
          <w:b/>
          <w:color w:val="auto"/>
          <w:sz w:val="22"/>
          <w:szCs w:val="22"/>
        </w:rPr>
        <w:sectPr w:rsidR="0040035B" w:rsidSect="00586C6E">
          <w:footerReference w:type="default" r:id="rId14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6B7B211C" w14:textId="77777777" w:rsidR="00676E98" w:rsidRDefault="00676E98">
      <w:pPr>
        <w:rPr>
          <w:b/>
          <w:color w:val="1481AB" w:themeColor="accent1" w:themeShade="BF"/>
        </w:rPr>
      </w:pPr>
      <w:r>
        <w:rPr>
          <w:b/>
          <w:color w:val="1481AB" w:themeColor="accent1" w:themeShade="BF"/>
        </w:rPr>
        <w:br w:type="page"/>
      </w:r>
    </w:p>
    <w:p w14:paraId="58E6809F" w14:textId="553849FC" w:rsidR="00F4746A" w:rsidRDefault="009464C4" w:rsidP="00586C6E">
      <w:pPr>
        <w:pStyle w:val="Heading2"/>
      </w:pPr>
      <w:r w:rsidRPr="00A13A8C">
        <w:lastRenderedPageBreak/>
        <w:t>Housing Query Trends in Q3 2024</w:t>
      </w:r>
    </w:p>
    <w:p w14:paraId="009F9067" w14:textId="77777777" w:rsidR="00571359" w:rsidRPr="001D4CBC" w:rsidRDefault="00571359" w:rsidP="00571359">
      <w:pPr>
        <w:jc w:val="both"/>
      </w:pPr>
      <w:r w:rsidRPr="001D4CBC">
        <w:rPr>
          <w:b/>
        </w:rPr>
        <w:t xml:space="preserve">Table </w:t>
      </w:r>
      <w:r>
        <w:rPr>
          <w:b/>
        </w:rPr>
        <w:t>11</w:t>
      </w:r>
      <w:r w:rsidRPr="001D4CBC">
        <w:t xml:space="preserve"> sets out the </w:t>
      </w:r>
      <w:r w:rsidRPr="001D4CBC">
        <w:rPr>
          <w:b/>
        </w:rPr>
        <w:t>Housing</w:t>
      </w:r>
      <w:r w:rsidRPr="001D4CBC">
        <w:t xml:space="preserve"> query dataset for Quarter 3, 2024. Housing is the </w:t>
      </w:r>
      <w:r>
        <w:t>second</w:t>
      </w:r>
      <w:r w:rsidRPr="001D4CBC">
        <w:t xml:space="preserve"> highest category, representing </w:t>
      </w:r>
      <w:r>
        <w:t>11.2% of all queries.</w:t>
      </w:r>
      <w:r w:rsidRPr="001D4CBC">
        <w:t xml:space="preserve"> Housing queries remained at a similar level to the same period last year (22,045).</w:t>
      </w:r>
    </w:p>
    <w:p w14:paraId="189FBFA1" w14:textId="20CEC25C" w:rsidR="00766CEF" w:rsidRPr="00D96CD7" w:rsidRDefault="004E33AC" w:rsidP="00417A27">
      <w:pPr>
        <w:pStyle w:val="ListParagraph"/>
      </w:pPr>
      <w:r w:rsidRPr="00D96CD7">
        <w:t>Local Authority and Social Housing queries declined by 2.1% (11,365)</w:t>
      </w:r>
      <w:r w:rsidR="00DF7046">
        <w:t>.</w:t>
      </w:r>
    </w:p>
    <w:p w14:paraId="5FC26DAF" w14:textId="237A2AF5" w:rsidR="00E307CC" w:rsidRPr="00726B8C" w:rsidRDefault="00A27632" w:rsidP="00417A27">
      <w:pPr>
        <w:pStyle w:val="ListParagraph"/>
      </w:pPr>
      <w:r w:rsidRPr="00726B8C">
        <w:t xml:space="preserve">Applying for local authority/social housing </w:t>
      </w:r>
      <w:r w:rsidR="00DD2731" w:rsidRPr="00726B8C">
        <w:t xml:space="preserve">queries </w:t>
      </w:r>
      <w:r w:rsidR="008F74C1" w:rsidRPr="00726B8C">
        <w:t xml:space="preserve">were consistent </w:t>
      </w:r>
      <w:r w:rsidR="00EE1AD9" w:rsidRPr="00726B8C">
        <w:t>with Q</w:t>
      </w:r>
      <w:r w:rsidR="00E307CC" w:rsidRPr="00726B8C">
        <w:t>3 2023 (5,794)</w:t>
      </w:r>
      <w:r w:rsidR="00DF7046">
        <w:t>.</w:t>
      </w:r>
    </w:p>
    <w:p w14:paraId="00665EB4" w14:textId="77777777" w:rsidR="00705040" w:rsidRPr="00726B8C" w:rsidRDefault="00E307CC" w:rsidP="00417A27">
      <w:pPr>
        <w:pStyle w:val="ListParagraph"/>
      </w:pPr>
      <w:r w:rsidRPr="00726B8C">
        <w:t>Housing Assistance Payments (HAP) queries decreased by 10.1% (</w:t>
      </w:r>
      <w:r w:rsidR="00705040" w:rsidRPr="00726B8C">
        <w:t>2,684)</w:t>
      </w:r>
    </w:p>
    <w:p w14:paraId="42FC7A71" w14:textId="7DB3A894" w:rsidR="00A1004B" w:rsidRPr="00B46C1F" w:rsidRDefault="0020282F" w:rsidP="00417A27">
      <w:pPr>
        <w:pStyle w:val="ListParagraph"/>
      </w:pPr>
      <w:r w:rsidRPr="00726B8C">
        <w:t>Differential Rent queries decreased by 29.9%</w:t>
      </w:r>
      <w:r w:rsidR="003E60DC" w:rsidRPr="00726B8C">
        <w:t xml:space="preserve"> (303)</w:t>
      </w:r>
      <w:r w:rsidR="00DF7046">
        <w:t>.</w:t>
      </w:r>
    </w:p>
    <w:p w14:paraId="2948A3A3" w14:textId="77777777" w:rsidR="00174D7C" w:rsidRDefault="003E60DC" w:rsidP="00417A27">
      <w:pPr>
        <w:pStyle w:val="ListParagraph"/>
      </w:pPr>
      <w:r w:rsidRPr="00726B8C">
        <w:t>Housing Grants and Schemes queries increased by 8.8% (</w:t>
      </w:r>
      <w:r w:rsidR="00A1004B" w:rsidRPr="00726B8C">
        <w:t>3,652)</w:t>
      </w:r>
      <w:r w:rsidR="00625FDF" w:rsidRPr="00726B8C">
        <w:t>.</w:t>
      </w:r>
    </w:p>
    <w:p w14:paraId="607199F9" w14:textId="664713AC" w:rsidR="004E33AC" w:rsidRPr="00726B8C" w:rsidRDefault="00677216" w:rsidP="00586C6E">
      <w:pPr>
        <w:pStyle w:val="ListParagraph"/>
      </w:pPr>
      <w:r w:rsidRPr="00726B8C">
        <w:t>Home Energy Grants (SEAI) queries increased by 32.4% (1,633).</w:t>
      </w:r>
    </w:p>
    <w:p w14:paraId="45EF4B15" w14:textId="10DE28E8" w:rsidR="00A1004B" w:rsidRPr="00726B8C" w:rsidRDefault="00A1004B" w:rsidP="00417A27">
      <w:pPr>
        <w:pStyle w:val="ListParagraph"/>
      </w:pPr>
      <w:r w:rsidRPr="00726B8C">
        <w:t>Renting a Home (Private Rental Accommodation</w:t>
      </w:r>
      <w:r w:rsidR="00625FDF" w:rsidRPr="00726B8C">
        <w:t>) decreased by 17.5% (2,515)</w:t>
      </w:r>
      <w:r w:rsidR="00DF7046">
        <w:t>.</w:t>
      </w:r>
    </w:p>
    <w:p w14:paraId="5B981923" w14:textId="0A343B93" w:rsidR="00625FDF" w:rsidRPr="00726B8C" w:rsidRDefault="002C3923" w:rsidP="00417A27">
      <w:pPr>
        <w:pStyle w:val="ListParagraph"/>
      </w:pPr>
      <w:r w:rsidRPr="00726B8C">
        <w:t>Notice/Eviction/Disputes queries decreased by 23.3% (572)</w:t>
      </w:r>
      <w:r w:rsidR="00DF7046">
        <w:t>.</w:t>
      </w:r>
    </w:p>
    <w:p w14:paraId="7D794475" w14:textId="16245096" w:rsidR="002C3923" w:rsidRPr="00726B8C" w:rsidRDefault="002C3923" w:rsidP="00417A27">
      <w:pPr>
        <w:pStyle w:val="ListParagraph"/>
      </w:pPr>
      <w:r w:rsidRPr="00726B8C">
        <w:t>RTB (Residential Tenancies Board)</w:t>
      </w:r>
      <w:r w:rsidR="007D1FFD" w:rsidRPr="00726B8C">
        <w:t xml:space="preserve"> decreased by 19% (410)</w:t>
      </w:r>
      <w:r w:rsidR="00DF7046">
        <w:t>.</w:t>
      </w:r>
    </w:p>
    <w:p w14:paraId="49FE9124" w14:textId="766830C8" w:rsidR="007D1FFD" w:rsidRPr="00726B8C" w:rsidRDefault="00710A27" w:rsidP="00417A27">
      <w:pPr>
        <w:pStyle w:val="ListParagraph"/>
      </w:pPr>
      <w:r w:rsidRPr="00726B8C">
        <w:t>Tenants’</w:t>
      </w:r>
      <w:r w:rsidR="007D1FFD" w:rsidRPr="00726B8C">
        <w:t xml:space="preserve"> Rights and Obligations</w:t>
      </w:r>
      <w:r w:rsidR="00E07D05" w:rsidRPr="00726B8C">
        <w:t xml:space="preserve"> decreased by 13.9% (377)</w:t>
      </w:r>
      <w:r w:rsidR="00DF7046">
        <w:t>.</w:t>
      </w:r>
    </w:p>
    <w:p w14:paraId="565172B5" w14:textId="7DC7D5F6" w:rsidR="00E07D05" w:rsidRPr="00726B8C" w:rsidRDefault="00E07D05" w:rsidP="00417A27">
      <w:pPr>
        <w:pStyle w:val="ListParagraph"/>
      </w:pPr>
      <w:r w:rsidRPr="00726B8C">
        <w:t>Landlord</w:t>
      </w:r>
      <w:r w:rsidR="0018162A">
        <w:t>s’</w:t>
      </w:r>
      <w:r w:rsidRPr="00726B8C">
        <w:t xml:space="preserve"> Rights and Obligations decreased by 18.4%</w:t>
      </w:r>
      <w:r w:rsidR="00EE52AC" w:rsidRPr="00726B8C">
        <w:t xml:space="preserve"> (345)</w:t>
      </w:r>
      <w:r w:rsidR="00DF7046">
        <w:t>.</w:t>
      </w:r>
    </w:p>
    <w:p w14:paraId="1CD5BC92" w14:textId="4FCAA4B2" w:rsidR="00EE52AC" w:rsidRPr="00B46C1F" w:rsidRDefault="00E07D05" w:rsidP="00417A27">
      <w:pPr>
        <w:pStyle w:val="ListParagraph"/>
      </w:pPr>
      <w:r w:rsidRPr="00726B8C">
        <w:t>Rent review decreased by 38.1% (216).</w:t>
      </w:r>
    </w:p>
    <w:p w14:paraId="57F049A4" w14:textId="2C1D1A21" w:rsidR="00EE52AC" w:rsidRDefault="00EE52AC" w:rsidP="00417A27">
      <w:pPr>
        <w:pStyle w:val="ListParagraph"/>
      </w:pPr>
      <w:r w:rsidRPr="00726B8C">
        <w:t xml:space="preserve">Homelessness queries </w:t>
      </w:r>
      <w:r w:rsidR="00CE1B59" w:rsidRPr="00726B8C">
        <w:t>increased by 12.6% (949).</w:t>
      </w:r>
    </w:p>
    <w:p w14:paraId="2B448DB5" w14:textId="16BDCA91" w:rsidR="004A4BD5" w:rsidRPr="00726B8C" w:rsidRDefault="004A4BD5" w:rsidP="00417A27">
      <w:pPr>
        <w:pStyle w:val="ListParagraph"/>
      </w:pPr>
      <w:r>
        <w:t xml:space="preserve">Buying/Owning a Home queries increased by 8% </w:t>
      </w:r>
      <w:r w:rsidR="00DF5BFB">
        <w:t>(</w:t>
      </w:r>
      <w:r>
        <w:t>635).</w:t>
      </w:r>
    </w:p>
    <w:p w14:paraId="5F24A80A" w14:textId="77777777" w:rsidR="00E169EE" w:rsidRDefault="00E169EE" w:rsidP="00CE1B59">
      <w:pPr>
        <w:rPr>
          <w:rFonts w:eastAsiaTheme="majorEastAsia"/>
          <w:b/>
          <w:color w:val="1481AB" w:themeColor="accent1" w:themeShade="BF"/>
        </w:rPr>
      </w:pPr>
    </w:p>
    <w:p w14:paraId="2DE22250" w14:textId="2CB2B709" w:rsidR="004C5C06" w:rsidRPr="00726B8C" w:rsidRDefault="00E169EE" w:rsidP="00D065B1">
      <w:pPr>
        <w:pStyle w:val="Heading2"/>
        <w:rPr>
          <w:highlight w:val="yellow"/>
        </w:rPr>
      </w:pPr>
      <w:r w:rsidRPr="00513D9F">
        <w:t>Caller profile data relating to Housing</w:t>
      </w:r>
    </w:p>
    <w:p w14:paraId="51524F75" w14:textId="0B604B16" w:rsidR="00C527BA" w:rsidRPr="00927BCF" w:rsidRDefault="00B079CE" w:rsidP="00D065B1">
      <w:pPr>
        <w:pStyle w:val="ListParagraph"/>
        <w:numPr>
          <w:ilvl w:val="0"/>
          <w:numId w:val="23"/>
        </w:numPr>
      </w:pPr>
      <w:r w:rsidRPr="00726B8C">
        <w:t>40.3% of call</w:t>
      </w:r>
      <w:r w:rsidR="00EA69F7">
        <w:t>er</w:t>
      </w:r>
      <w:r w:rsidRPr="00726B8C">
        <w:t xml:space="preserve">s </w:t>
      </w:r>
      <w:r w:rsidR="00EA69F7">
        <w:t xml:space="preserve">who contacted CISs </w:t>
      </w:r>
      <w:r w:rsidRPr="00726B8C">
        <w:t xml:space="preserve">about Housing </w:t>
      </w:r>
      <w:r w:rsidR="00D065B1">
        <w:t>were aged</w:t>
      </w:r>
      <w:r w:rsidRPr="00726B8C">
        <w:t xml:space="preserve"> </w:t>
      </w:r>
      <w:r w:rsidR="004B40BF" w:rsidRPr="00726B8C">
        <w:t xml:space="preserve">26-45, 34.4% </w:t>
      </w:r>
      <w:r w:rsidR="00D065B1">
        <w:t>were aged</w:t>
      </w:r>
      <w:r w:rsidR="004B40BF" w:rsidRPr="00726B8C">
        <w:t xml:space="preserve"> </w:t>
      </w:r>
      <w:r w:rsidR="00710A27" w:rsidRPr="00726B8C">
        <w:t>46</w:t>
      </w:r>
      <w:r w:rsidR="004B40BF" w:rsidRPr="00726B8C">
        <w:t xml:space="preserve">-65 and 22.4% </w:t>
      </w:r>
      <w:r w:rsidR="00D065B1">
        <w:t>were aged</w:t>
      </w:r>
      <w:r w:rsidR="004B40BF" w:rsidRPr="00726B8C">
        <w:t xml:space="preserve"> 66 and over.</w:t>
      </w:r>
    </w:p>
    <w:p w14:paraId="402F0EC8" w14:textId="76B6BAEF" w:rsidR="00581FE7" w:rsidRDefault="00581FE7" w:rsidP="00D065B1">
      <w:pPr>
        <w:pStyle w:val="ListParagraph"/>
        <w:numPr>
          <w:ilvl w:val="0"/>
          <w:numId w:val="23"/>
        </w:numPr>
      </w:pPr>
      <w:r w:rsidRPr="00726B8C">
        <w:t>51.8% of calls about local authority and social housing came from</w:t>
      </w:r>
      <w:r w:rsidR="00D065B1">
        <w:t xml:space="preserve"> the</w:t>
      </w:r>
      <w:r w:rsidRPr="00726B8C">
        <w:t xml:space="preserve"> </w:t>
      </w:r>
      <w:r w:rsidR="00B42E16" w:rsidRPr="00726B8C">
        <w:t>26-45</w:t>
      </w:r>
      <w:r w:rsidR="00D065B1">
        <w:t xml:space="preserve"> age group</w:t>
      </w:r>
      <w:r w:rsidR="00450BBF">
        <w:t>.</w:t>
      </w:r>
    </w:p>
    <w:p w14:paraId="6C92F548" w14:textId="553DDB24" w:rsidR="00450BBF" w:rsidRDefault="00FD4BBE" w:rsidP="00D065B1">
      <w:pPr>
        <w:pStyle w:val="ListParagraph"/>
        <w:numPr>
          <w:ilvl w:val="0"/>
          <w:numId w:val="23"/>
        </w:numPr>
      </w:pPr>
      <w:r>
        <w:t xml:space="preserve">57.8% of all calls relating to Housing Grants and schemes originated from </w:t>
      </w:r>
      <w:r w:rsidR="00D065B1">
        <w:t>people aged 66 and over</w:t>
      </w:r>
      <w:r>
        <w:t>.</w:t>
      </w:r>
    </w:p>
    <w:p w14:paraId="68977FB1" w14:textId="6C06AC18" w:rsidR="00FD4BBE" w:rsidRDefault="00E5764E" w:rsidP="00D065B1">
      <w:pPr>
        <w:pStyle w:val="ListParagraph"/>
        <w:numPr>
          <w:ilvl w:val="0"/>
          <w:numId w:val="23"/>
        </w:numPr>
      </w:pPr>
      <w:r>
        <w:t>48% of all calls relating to Renting a Home (Private Rental Accommodation) came from the 26-45</w:t>
      </w:r>
      <w:r w:rsidR="00D065B1">
        <w:t xml:space="preserve"> age group;</w:t>
      </w:r>
      <w:r>
        <w:t xml:space="preserve"> 40% came from the 46-65s.</w:t>
      </w:r>
    </w:p>
    <w:p w14:paraId="7DD8AC5D" w14:textId="77777777" w:rsidR="00EB4845" w:rsidRDefault="00EB4845" w:rsidP="0002338D">
      <w:pPr>
        <w:ind w:left="720"/>
        <w:sectPr w:rsidR="00EB4845" w:rsidSect="00586C6E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2456FB78" w14:textId="04D736BF" w:rsidR="00942712" w:rsidRPr="0074129E" w:rsidRDefault="00942712" w:rsidP="00290362">
      <w:pPr>
        <w:pStyle w:val="Heading3"/>
        <w:rPr>
          <w:sz w:val="28"/>
          <w:szCs w:val="28"/>
        </w:rPr>
      </w:pPr>
      <w:r w:rsidRPr="0074129E">
        <w:rPr>
          <w:sz w:val="28"/>
          <w:szCs w:val="28"/>
        </w:rPr>
        <w:lastRenderedPageBreak/>
        <w:t xml:space="preserve">Table </w:t>
      </w:r>
      <w:r w:rsidR="00EE6517" w:rsidRPr="0074129E">
        <w:rPr>
          <w:sz w:val="28"/>
          <w:szCs w:val="28"/>
        </w:rPr>
        <w:t>11</w:t>
      </w:r>
      <w:r w:rsidRPr="0074129E">
        <w:rPr>
          <w:sz w:val="28"/>
          <w:szCs w:val="28"/>
        </w:rPr>
        <w:t xml:space="preserve"> – Housing Queries Breakdown, Q3 202</w:t>
      </w:r>
      <w:r w:rsidR="00BA23D2" w:rsidRPr="0074129E">
        <w:rPr>
          <w:sz w:val="28"/>
          <w:szCs w:val="28"/>
        </w:rPr>
        <w:t>4</w:t>
      </w:r>
    </w:p>
    <w:tbl>
      <w:tblPr>
        <w:tblStyle w:val="GridTable5Dark-Accent6"/>
        <w:tblW w:w="9918" w:type="dxa"/>
        <w:tblLook w:val="04A0" w:firstRow="1" w:lastRow="0" w:firstColumn="1" w:lastColumn="0" w:noHBand="0" w:noVBand="1"/>
        <w:tblCaption w:val="Table 7 Housing Query Breakdown Quarter 1 2021"/>
        <w:tblDescription w:val="This table shows the housing query dataset for Qtr 1 2021"/>
      </w:tblPr>
      <w:tblGrid>
        <w:gridCol w:w="5098"/>
        <w:gridCol w:w="2268"/>
        <w:gridCol w:w="2552"/>
      </w:tblGrid>
      <w:tr w:rsidR="00A24F37" w:rsidRPr="00726B8C" w14:paraId="0C1E71E6" w14:textId="77777777" w:rsidTr="00860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14:paraId="0C1A6AD4" w14:textId="64837578" w:rsidR="00A24F37" w:rsidRPr="00D065B1" w:rsidRDefault="0074129E" w:rsidP="00D065B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lang w:eastAsia="en-IE"/>
              </w:rPr>
              <w:t xml:space="preserve">Housing </w:t>
            </w:r>
            <w:r w:rsidR="00A24F37" w:rsidRPr="00D065B1">
              <w:rPr>
                <w:rFonts w:ascii="Calibri" w:eastAsia="Times New Roman" w:hAnsi="Calibri" w:cs="Calibri"/>
                <w:lang w:eastAsia="en-IE"/>
              </w:rPr>
              <w:t>Sub-category Breakdown</w:t>
            </w:r>
          </w:p>
        </w:tc>
        <w:tc>
          <w:tcPr>
            <w:tcW w:w="2268" w:type="dxa"/>
            <w:hideMark/>
          </w:tcPr>
          <w:p w14:paraId="6C80FFF5" w14:textId="4EDC9718" w:rsidR="00A24F37" w:rsidRPr="00D065B1" w:rsidRDefault="00A24F37" w:rsidP="00D065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lang w:eastAsia="en-IE"/>
              </w:rPr>
              <w:t># of Queries</w:t>
            </w:r>
          </w:p>
        </w:tc>
        <w:tc>
          <w:tcPr>
            <w:tcW w:w="2552" w:type="dxa"/>
            <w:hideMark/>
          </w:tcPr>
          <w:p w14:paraId="72F96423" w14:textId="1A13DA4F" w:rsidR="00F33CF0" w:rsidRPr="00D065B1" w:rsidRDefault="00A24F37" w:rsidP="00D065B1">
            <w:pPr>
              <w:ind w:right="-3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lang w:eastAsia="en-IE"/>
              </w:rPr>
              <w:t xml:space="preserve">% </w:t>
            </w:r>
            <w:r w:rsidR="00F33CF0" w:rsidRPr="00D065B1">
              <w:rPr>
                <w:rFonts w:ascii="Calibri" w:eastAsia="Times New Roman" w:hAnsi="Calibri" w:cs="Calibri"/>
                <w:lang w:eastAsia="en-IE"/>
              </w:rPr>
              <w:t>of Housing</w:t>
            </w:r>
          </w:p>
          <w:p w14:paraId="7A0E8511" w14:textId="77777777" w:rsidR="00A24F37" w:rsidRPr="00D065B1" w:rsidRDefault="00A24F37" w:rsidP="00D065B1">
            <w:pPr>
              <w:ind w:right="-3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lang w:eastAsia="en-IE"/>
              </w:rPr>
              <w:t>Sub-category</w:t>
            </w:r>
          </w:p>
          <w:p w14:paraId="2BE85C02" w14:textId="5AEA8B93" w:rsidR="00F33CF0" w:rsidRPr="00D065B1" w:rsidRDefault="00F33CF0" w:rsidP="00D065B1">
            <w:pPr>
              <w:ind w:right="-3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IE"/>
              </w:rPr>
            </w:pPr>
          </w:p>
        </w:tc>
      </w:tr>
      <w:tr w:rsidR="00661F0F" w:rsidRPr="00726B8C" w14:paraId="7EEE9950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noWrap/>
            <w:vAlign w:val="bottom"/>
          </w:tcPr>
          <w:p w14:paraId="47721724" w14:textId="13DFA326" w:rsidR="00661F0F" w:rsidRPr="002C691A" w:rsidRDefault="00661F0F" w:rsidP="00661F0F">
            <w:pPr>
              <w:rPr>
                <w:rFonts w:ascii="Calibri" w:hAnsi="Calibri" w:cs="Calibri"/>
                <w:color w:val="000000"/>
              </w:rPr>
            </w:pPr>
            <w:r w:rsidRPr="00AA3ABD">
              <w:rPr>
                <w:rFonts w:ascii="Calibri" w:hAnsi="Calibri" w:cs="Calibri"/>
              </w:rPr>
              <w:t xml:space="preserve">Local Authority and Social Housing              </w:t>
            </w:r>
            <w:r w:rsidR="00676E98">
              <w:rPr>
                <w:rFonts w:ascii="Calibri" w:hAnsi="Calibri" w:cs="Calibri"/>
              </w:rPr>
              <w:t xml:space="preserve"> </w:t>
            </w:r>
            <w:r w:rsidRPr="00AA3ABD">
              <w:rPr>
                <w:rFonts w:ascii="Calibri" w:hAnsi="Calibri" w:cs="Calibri"/>
              </w:rPr>
              <w:t xml:space="preserve">    </w:t>
            </w:r>
            <w:r w:rsidR="00C87900" w:rsidRPr="00AA3ABD">
              <w:rPr>
                <w:rFonts w:ascii="Calibri" w:hAnsi="Calibri" w:cs="Calibri"/>
              </w:rPr>
              <w:t xml:space="preserve"> </w:t>
            </w:r>
            <w:r w:rsidR="005727F6" w:rsidRPr="00AA3ABD">
              <w:rPr>
                <w:rFonts w:ascii="Calibri" w:hAnsi="Calibri" w:cs="Calibri"/>
              </w:rPr>
              <w:t xml:space="preserve">                                                                           </w:t>
            </w:r>
            <w:r w:rsidR="00553C57" w:rsidRPr="00AA3ABD">
              <w:rPr>
                <w:rFonts w:ascii="Calibri" w:hAnsi="Calibri" w:cs="Calibri"/>
              </w:rPr>
              <w:t xml:space="preserve">                       </w:t>
            </w:r>
            <w:r w:rsidR="005727F6" w:rsidRPr="00AA3ABD">
              <w:rPr>
                <w:rFonts w:ascii="Calibri" w:hAnsi="Calibri" w:cs="Calibri"/>
              </w:rPr>
              <w:t xml:space="preserve"> </w:t>
            </w:r>
            <w:r w:rsidRPr="002C691A">
              <w:rPr>
                <w:rFonts w:ascii="Calibri" w:hAnsi="Calibri" w:cs="Calibri"/>
                <w:color w:val="000000"/>
              </w:rPr>
              <w:t>51.6%</w:t>
            </w:r>
          </w:p>
        </w:tc>
      </w:tr>
      <w:tr w:rsidR="00A24F37" w:rsidRPr="00726B8C" w14:paraId="616D39F7" w14:textId="77777777" w:rsidTr="00676E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2AB02E1C" w14:textId="77777777" w:rsidR="00A24F37" w:rsidRPr="00D065B1" w:rsidRDefault="00A24F37" w:rsidP="00D5036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Applying for Local Authority/Social Housing</w:t>
            </w:r>
          </w:p>
        </w:tc>
        <w:tc>
          <w:tcPr>
            <w:tcW w:w="2268" w:type="dxa"/>
            <w:noWrap/>
          </w:tcPr>
          <w:p w14:paraId="43E5C4EF" w14:textId="3FFD1E95" w:rsidR="00A24F37" w:rsidRPr="00726B8C" w:rsidRDefault="00A24F37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5,794</w:t>
            </w:r>
          </w:p>
        </w:tc>
        <w:tc>
          <w:tcPr>
            <w:tcW w:w="2552" w:type="dxa"/>
            <w:noWrap/>
          </w:tcPr>
          <w:p w14:paraId="60C0D9B7" w14:textId="194F6B4B" w:rsidR="00A24F37" w:rsidRPr="00726B8C" w:rsidRDefault="00A24F37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51.0%</w:t>
            </w:r>
          </w:p>
        </w:tc>
      </w:tr>
      <w:tr w:rsidR="00A24F37" w:rsidRPr="00726B8C" w14:paraId="036E526E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1C28F723" w14:textId="77777777" w:rsidR="00A24F37" w:rsidRPr="00D065B1" w:rsidRDefault="00A24F37" w:rsidP="00D50363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Housing Assistance Payment (HAP)</w:t>
            </w:r>
          </w:p>
        </w:tc>
        <w:tc>
          <w:tcPr>
            <w:tcW w:w="2268" w:type="dxa"/>
            <w:noWrap/>
          </w:tcPr>
          <w:p w14:paraId="6A9DB08F" w14:textId="7DC99E0D" w:rsidR="00A24F37" w:rsidRPr="00726B8C" w:rsidRDefault="00A24F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2,</w:t>
            </w:r>
            <w:r w:rsidR="008B5DE6">
              <w:rPr>
                <w:rFonts w:ascii="Calibri" w:hAnsi="Calibri" w:cs="Calibri"/>
                <w:sz w:val="20"/>
                <w:szCs w:val="20"/>
              </w:rPr>
              <w:t>68</w:t>
            </w:r>
            <w:r w:rsidRPr="00726B8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noWrap/>
          </w:tcPr>
          <w:p w14:paraId="3E8B5CA7" w14:textId="1D184AB3" w:rsidR="00A24F37" w:rsidRPr="00726B8C" w:rsidRDefault="00A24F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23.6%</w:t>
            </w:r>
          </w:p>
        </w:tc>
      </w:tr>
      <w:tr w:rsidR="00A24F37" w:rsidRPr="00726B8C" w14:paraId="72B36D24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3ECD0A28" w14:textId="77777777" w:rsidR="00A24F37" w:rsidRPr="00D065B1" w:rsidRDefault="00A24F37" w:rsidP="00D5036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68" w:type="dxa"/>
            <w:noWrap/>
          </w:tcPr>
          <w:p w14:paraId="5B0B88FB" w14:textId="7727361D" w:rsidR="00A24F37" w:rsidRPr="00726B8C" w:rsidRDefault="00A24F37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725</w:t>
            </w:r>
          </w:p>
        </w:tc>
        <w:tc>
          <w:tcPr>
            <w:tcW w:w="2552" w:type="dxa"/>
            <w:noWrap/>
          </w:tcPr>
          <w:p w14:paraId="6492E6F7" w14:textId="4E43FECA" w:rsidR="00A24F37" w:rsidRPr="00726B8C" w:rsidRDefault="00A24F37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6.4%</w:t>
            </w:r>
          </w:p>
        </w:tc>
      </w:tr>
      <w:tr w:rsidR="00A24F37" w:rsidRPr="00726B8C" w14:paraId="045FE068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0653D996" w14:textId="77777777" w:rsidR="00A24F37" w:rsidRPr="00D065B1" w:rsidRDefault="00A24F37" w:rsidP="00D5036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Differential Rent</w:t>
            </w:r>
          </w:p>
        </w:tc>
        <w:tc>
          <w:tcPr>
            <w:tcW w:w="2268" w:type="dxa"/>
            <w:noWrap/>
          </w:tcPr>
          <w:p w14:paraId="59CEF389" w14:textId="7F3CCB72" w:rsidR="00A24F37" w:rsidRPr="00726B8C" w:rsidRDefault="00A24F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2552" w:type="dxa"/>
            <w:noWrap/>
          </w:tcPr>
          <w:p w14:paraId="7361A766" w14:textId="1A76BE86" w:rsidR="00A24F37" w:rsidRPr="00726B8C" w:rsidRDefault="00A24F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</w:tr>
      <w:tr w:rsidR="00A24F37" w:rsidRPr="00726B8C" w14:paraId="07C6E4A9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5372E4FD" w14:textId="4F52E1D6" w:rsidR="00A24F37" w:rsidRPr="00D065B1" w:rsidRDefault="00A24F37" w:rsidP="00BA23D2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Medical Priority</w:t>
            </w:r>
          </w:p>
        </w:tc>
        <w:tc>
          <w:tcPr>
            <w:tcW w:w="2268" w:type="dxa"/>
            <w:noWrap/>
          </w:tcPr>
          <w:p w14:paraId="79C79918" w14:textId="1A2CEFB4" w:rsidR="00A24F37" w:rsidRPr="00726B8C" w:rsidRDefault="00A24F37" w:rsidP="00BA23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2552" w:type="dxa"/>
            <w:noWrap/>
          </w:tcPr>
          <w:p w14:paraId="79493017" w14:textId="398883CC" w:rsidR="00A24F37" w:rsidRPr="00726B8C" w:rsidRDefault="00A24F37" w:rsidP="00BA23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</w:tr>
      <w:tr w:rsidR="00A24F37" w:rsidRPr="00726B8C" w14:paraId="2B2229DF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3FD45F16" w14:textId="77777777" w:rsidR="00A24F37" w:rsidRPr="00D065B1" w:rsidRDefault="00A24F37" w:rsidP="00D5036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LA Transfers</w:t>
            </w:r>
          </w:p>
        </w:tc>
        <w:tc>
          <w:tcPr>
            <w:tcW w:w="2268" w:type="dxa"/>
            <w:noWrap/>
          </w:tcPr>
          <w:p w14:paraId="5150B605" w14:textId="224DABCD" w:rsidR="00A24F37" w:rsidRPr="00726B8C" w:rsidRDefault="00A24F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2552" w:type="dxa"/>
            <w:noWrap/>
          </w:tcPr>
          <w:p w14:paraId="2063AE4B" w14:textId="1F48C43C" w:rsidR="00A24F37" w:rsidRPr="00726B8C" w:rsidRDefault="00A24F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</w:tr>
      <w:tr w:rsidR="00A24F37" w:rsidRPr="00726B8C" w14:paraId="307042B6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6BEA8A5E" w14:textId="07EF8ABA" w:rsidR="00A24F37" w:rsidRPr="00D065B1" w:rsidRDefault="00A24F37" w:rsidP="00BA23D2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Social Housing Waiting Lists</w:t>
            </w:r>
          </w:p>
        </w:tc>
        <w:tc>
          <w:tcPr>
            <w:tcW w:w="2268" w:type="dxa"/>
            <w:noWrap/>
          </w:tcPr>
          <w:p w14:paraId="1FCB2446" w14:textId="32B0E784" w:rsidR="00A24F37" w:rsidRPr="00726B8C" w:rsidRDefault="00A24F37" w:rsidP="00BA23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2552" w:type="dxa"/>
            <w:noWrap/>
          </w:tcPr>
          <w:p w14:paraId="4F3B491A" w14:textId="507DF227" w:rsidR="00A24F37" w:rsidRPr="00726B8C" w:rsidRDefault="00A24F37" w:rsidP="00BA23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</w:tr>
      <w:tr w:rsidR="00A24F37" w:rsidRPr="00726B8C" w14:paraId="7515E832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341214F6" w14:textId="7588C5CD" w:rsidR="00A24F37" w:rsidRPr="00D065B1" w:rsidRDefault="00A24F37" w:rsidP="00BA23D2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Choice Based Lettings</w:t>
            </w:r>
          </w:p>
        </w:tc>
        <w:tc>
          <w:tcPr>
            <w:tcW w:w="2268" w:type="dxa"/>
            <w:noWrap/>
          </w:tcPr>
          <w:p w14:paraId="34BAEF12" w14:textId="7035D3B6" w:rsidR="00A24F37" w:rsidRPr="00726B8C" w:rsidRDefault="00A24F37" w:rsidP="00BA23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2552" w:type="dxa"/>
            <w:noWrap/>
          </w:tcPr>
          <w:p w14:paraId="027246E1" w14:textId="30B5DDF0" w:rsidR="00A24F37" w:rsidRPr="00726B8C" w:rsidRDefault="00A24F37" w:rsidP="00BA23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</w:tr>
      <w:tr w:rsidR="00A24F37" w:rsidRPr="00726B8C" w14:paraId="60961F18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7D18ADBA" w14:textId="77777777" w:rsidR="00A24F37" w:rsidRPr="00D065B1" w:rsidRDefault="00A24F37" w:rsidP="00D50363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2268" w:type="dxa"/>
            <w:noWrap/>
          </w:tcPr>
          <w:p w14:paraId="36CDB03C" w14:textId="3595C6A4" w:rsidR="00A24F37" w:rsidRPr="00726B8C" w:rsidRDefault="00A24F37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2552" w:type="dxa"/>
            <w:noWrap/>
          </w:tcPr>
          <w:p w14:paraId="0BEEBB5A" w14:textId="790FB9C6" w:rsidR="00A24F37" w:rsidRPr="00726B8C" w:rsidRDefault="00A24F37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</w:tr>
      <w:tr w:rsidR="00A24F37" w:rsidRPr="00726B8C" w14:paraId="009A4B28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0A731DF4" w14:textId="2F696A26" w:rsidR="00A24F37" w:rsidRPr="00D065B1" w:rsidRDefault="00A24F37" w:rsidP="00D50363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Approved Housing Bodies (AHB)</w:t>
            </w:r>
          </w:p>
        </w:tc>
        <w:tc>
          <w:tcPr>
            <w:tcW w:w="2268" w:type="dxa"/>
            <w:noWrap/>
          </w:tcPr>
          <w:p w14:paraId="7D50E098" w14:textId="17B00A18" w:rsidR="00A24F37" w:rsidRPr="00726B8C" w:rsidRDefault="00A24F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2552" w:type="dxa"/>
            <w:noWrap/>
          </w:tcPr>
          <w:p w14:paraId="22C527F3" w14:textId="20D1BB12" w:rsidR="00A24F37" w:rsidRPr="00726B8C" w:rsidRDefault="00A24F37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</w:tr>
      <w:tr w:rsidR="00A24F37" w:rsidRPr="00726B8C" w14:paraId="6E31C6BA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5D4230F6" w14:textId="77777777" w:rsidR="00A24F37" w:rsidRPr="00D065B1" w:rsidRDefault="00A24F37" w:rsidP="00D50363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Rent Arrears/Rent Problems</w:t>
            </w:r>
          </w:p>
        </w:tc>
        <w:tc>
          <w:tcPr>
            <w:tcW w:w="2268" w:type="dxa"/>
            <w:noWrap/>
          </w:tcPr>
          <w:p w14:paraId="4F5D361E" w14:textId="3A8BBAF5" w:rsidR="00A24F37" w:rsidRPr="00726B8C" w:rsidRDefault="00A24F37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2552" w:type="dxa"/>
            <w:noWrap/>
          </w:tcPr>
          <w:p w14:paraId="45F1F431" w14:textId="5E4FB4E7" w:rsidR="00A24F37" w:rsidRPr="00726B8C" w:rsidRDefault="00A24F37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</w:tr>
      <w:tr w:rsidR="00A24F37" w:rsidRPr="00726B8C" w14:paraId="73F99DE4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21EB0F53" w14:textId="7B999B6A" w:rsidR="00A24F37" w:rsidRPr="00D065B1" w:rsidRDefault="00A24F37" w:rsidP="00BA23D2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Rental Accommodation Scheme (RAS)</w:t>
            </w:r>
          </w:p>
        </w:tc>
        <w:tc>
          <w:tcPr>
            <w:tcW w:w="2268" w:type="dxa"/>
            <w:noWrap/>
          </w:tcPr>
          <w:p w14:paraId="51B7B50C" w14:textId="3AFB98BE" w:rsidR="00A24F37" w:rsidRPr="00726B8C" w:rsidRDefault="00A24F37" w:rsidP="00BA23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2552" w:type="dxa"/>
            <w:noWrap/>
          </w:tcPr>
          <w:p w14:paraId="0FA97BA8" w14:textId="3839CB43" w:rsidR="00A24F37" w:rsidRPr="00726B8C" w:rsidRDefault="00A24F37" w:rsidP="00BA23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</w:tr>
      <w:tr w:rsidR="00A24F37" w:rsidRPr="00726B8C" w14:paraId="325F45CA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0221A931" w14:textId="218D4622" w:rsidR="00A24F37" w:rsidRPr="00D065B1" w:rsidRDefault="00A24F37" w:rsidP="00BA23D2">
            <w:pPr>
              <w:rPr>
                <w:rFonts w:eastAsia="Times New Roman"/>
                <w:b w:val="0"/>
                <w:bCs w:val="0"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Tenant Purchase (Incremental Scheme)</w:t>
            </w:r>
          </w:p>
        </w:tc>
        <w:tc>
          <w:tcPr>
            <w:tcW w:w="2268" w:type="dxa"/>
            <w:noWrap/>
          </w:tcPr>
          <w:p w14:paraId="60646483" w14:textId="6F3C44F5" w:rsidR="00A24F37" w:rsidRPr="00726B8C" w:rsidRDefault="00A24F37" w:rsidP="00BA23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2552" w:type="dxa"/>
            <w:noWrap/>
          </w:tcPr>
          <w:p w14:paraId="0670D9C6" w14:textId="1A3D32C3" w:rsidR="00A24F37" w:rsidRPr="00726B8C" w:rsidRDefault="00A24F37" w:rsidP="00BA23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</w:tr>
      <w:tr w:rsidR="00A24F37" w:rsidRPr="00726B8C" w14:paraId="589FAF33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78DF8184" w14:textId="138FF1D3" w:rsidR="00A24F37" w:rsidRPr="00D065B1" w:rsidRDefault="00A24F37" w:rsidP="00BA23D2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Tenant in situ (HAP/RAS)</w:t>
            </w:r>
          </w:p>
        </w:tc>
        <w:tc>
          <w:tcPr>
            <w:tcW w:w="2268" w:type="dxa"/>
            <w:noWrap/>
          </w:tcPr>
          <w:p w14:paraId="31788B15" w14:textId="7166F2BF" w:rsidR="00A24F37" w:rsidRPr="00726B8C" w:rsidRDefault="00A24F37" w:rsidP="00BA23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2552" w:type="dxa"/>
            <w:noWrap/>
          </w:tcPr>
          <w:p w14:paraId="787C6E48" w14:textId="4882D0E6" w:rsidR="00A24F37" w:rsidRPr="00726B8C" w:rsidRDefault="00A24F37" w:rsidP="00BA23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</w:tr>
      <w:tr w:rsidR="00A24F37" w:rsidRPr="00726B8C" w14:paraId="23B72C10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6B927FCF" w14:textId="68183EFC" w:rsidR="00A24F37" w:rsidRPr="00D065B1" w:rsidRDefault="00A24F37" w:rsidP="00BA23D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Anti-social behaviour</w:t>
            </w:r>
          </w:p>
        </w:tc>
        <w:tc>
          <w:tcPr>
            <w:tcW w:w="2268" w:type="dxa"/>
            <w:noWrap/>
          </w:tcPr>
          <w:p w14:paraId="6E3E209B" w14:textId="0D59CFF7" w:rsidR="00A24F37" w:rsidRPr="00726B8C" w:rsidRDefault="00A24F37" w:rsidP="00BA23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2552" w:type="dxa"/>
            <w:noWrap/>
          </w:tcPr>
          <w:p w14:paraId="6075D69D" w14:textId="66C8AE87" w:rsidR="00A24F37" w:rsidRPr="00726B8C" w:rsidRDefault="00A24F37" w:rsidP="00BA23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</w:tr>
      <w:tr w:rsidR="00A24F37" w:rsidRPr="00726B8C" w14:paraId="6BFB7CA8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22C52A7E" w14:textId="1FB54320" w:rsidR="00A24F37" w:rsidRPr="00D065B1" w:rsidRDefault="00A24F37" w:rsidP="00BA23D2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2268" w:type="dxa"/>
            <w:noWrap/>
          </w:tcPr>
          <w:p w14:paraId="00FBDB00" w14:textId="3BBA7A7B" w:rsidR="00A24F37" w:rsidRPr="00726B8C" w:rsidRDefault="00A24F37" w:rsidP="00BA23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2552" w:type="dxa"/>
            <w:noWrap/>
          </w:tcPr>
          <w:p w14:paraId="590D3D74" w14:textId="348646A1" w:rsidR="00A24F37" w:rsidRPr="00726B8C" w:rsidRDefault="00A24F37" w:rsidP="00BA23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</w:tr>
      <w:tr w:rsidR="00A24F37" w:rsidRPr="00726B8C" w14:paraId="675A0338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42D05428" w14:textId="3FC040A9" w:rsidR="00A24F37" w:rsidRPr="00D065B1" w:rsidRDefault="00A24F37" w:rsidP="00E43706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Tenancy Succession</w:t>
            </w:r>
          </w:p>
        </w:tc>
        <w:tc>
          <w:tcPr>
            <w:tcW w:w="2268" w:type="dxa"/>
            <w:noWrap/>
          </w:tcPr>
          <w:p w14:paraId="4D39698F" w14:textId="496497F2" w:rsidR="00A24F37" w:rsidRPr="00726B8C" w:rsidRDefault="00A24F37" w:rsidP="00E437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2552" w:type="dxa"/>
            <w:noWrap/>
          </w:tcPr>
          <w:p w14:paraId="2E93636C" w14:textId="26847CBF" w:rsidR="00A24F37" w:rsidRPr="00726B8C" w:rsidRDefault="00A24F37" w:rsidP="00E437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</w:tr>
      <w:tr w:rsidR="00A24F37" w:rsidRPr="00726B8C" w14:paraId="1380EB21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5B99FBB9" w14:textId="29387BDC" w:rsidR="00A24F37" w:rsidRPr="00D065B1" w:rsidRDefault="00A24F37" w:rsidP="00E43706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Traveller Accommodation</w:t>
            </w:r>
          </w:p>
        </w:tc>
        <w:tc>
          <w:tcPr>
            <w:tcW w:w="2268" w:type="dxa"/>
            <w:noWrap/>
          </w:tcPr>
          <w:p w14:paraId="3D5AC5CC" w14:textId="321803AF" w:rsidR="00A24F37" w:rsidRPr="00726B8C" w:rsidRDefault="00A24F37" w:rsidP="00E437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</w:tcPr>
          <w:p w14:paraId="5E62E891" w14:textId="66B85AB7" w:rsidR="00A24F37" w:rsidRPr="00726B8C" w:rsidRDefault="00A24F37" w:rsidP="00E437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A24F37" w:rsidRPr="00726B8C" w14:paraId="47F62F41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57E5C1B7" w14:textId="77777777" w:rsidR="00A24F37" w:rsidRPr="00D065B1" w:rsidRDefault="00A24F37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268" w:type="dxa"/>
            <w:noWrap/>
          </w:tcPr>
          <w:p w14:paraId="24457F6B" w14:textId="21033476" w:rsidR="00A24F37" w:rsidRPr="00726B8C" w:rsidRDefault="00A24F37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11,365</w:t>
            </w:r>
          </w:p>
        </w:tc>
        <w:tc>
          <w:tcPr>
            <w:tcW w:w="2552" w:type="dxa"/>
            <w:noWrap/>
          </w:tcPr>
          <w:p w14:paraId="193601F7" w14:textId="77777777" w:rsidR="00A24F37" w:rsidRPr="00726B8C" w:rsidRDefault="00A24F37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61F0F" w:rsidRPr="00726B8C" w14:paraId="7E970015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noWrap/>
          </w:tcPr>
          <w:p w14:paraId="1E6E0A8A" w14:textId="14DFDB69" w:rsidR="00661F0F" w:rsidRPr="00D065B1" w:rsidRDefault="00661F0F" w:rsidP="00661F0F">
            <w:pPr>
              <w:rPr>
                <w:rFonts w:ascii="Calibri" w:hAnsi="Calibri" w:cs="Calibri"/>
                <w:color w:val="000000"/>
              </w:rPr>
            </w:pPr>
            <w:r w:rsidRPr="00D065B1">
              <w:rPr>
                <w:rFonts w:ascii="Calibri" w:hAnsi="Calibri" w:cs="Calibri"/>
              </w:rPr>
              <w:t xml:space="preserve">Housing Grants and Schemes                                                  </w:t>
            </w:r>
            <w:r w:rsidR="005727F6" w:rsidRPr="00D065B1">
              <w:rPr>
                <w:rFonts w:ascii="Calibri" w:hAnsi="Calibri" w:cs="Calibri"/>
              </w:rPr>
              <w:t xml:space="preserve">                                                         </w:t>
            </w:r>
            <w:r w:rsidRPr="00D065B1">
              <w:rPr>
                <w:rFonts w:ascii="Calibri" w:hAnsi="Calibri" w:cs="Calibri"/>
              </w:rPr>
              <w:t xml:space="preserve"> </w:t>
            </w:r>
            <w:r w:rsidR="00553C57" w:rsidRPr="00D065B1">
              <w:rPr>
                <w:rFonts w:ascii="Calibri" w:hAnsi="Calibri" w:cs="Calibri"/>
              </w:rPr>
              <w:t xml:space="preserve">                      </w:t>
            </w:r>
            <w:r w:rsidRPr="00D065B1">
              <w:rPr>
                <w:rFonts w:ascii="Calibri" w:hAnsi="Calibri" w:cs="Calibri"/>
                <w:color w:val="000000"/>
              </w:rPr>
              <w:t>16.6%</w:t>
            </w:r>
          </w:p>
        </w:tc>
      </w:tr>
      <w:tr w:rsidR="00A24F37" w:rsidRPr="00726B8C" w14:paraId="62142FAA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</w:tcPr>
          <w:p w14:paraId="624689A5" w14:textId="5D5E553B" w:rsidR="00A24F37" w:rsidRPr="00D065B1" w:rsidRDefault="00A24F37" w:rsidP="00B63880">
            <w:pPr>
              <w:rPr>
                <w:rFonts w:eastAsia="Times New Roman"/>
                <w:b w:val="0"/>
                <w:bCs w:val="0"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Housing Grants and Schemes</w:t>
            </w:r>
          </w:p>
        </w:tc>
        <w:tc>
          <w:tcPr>
            <w:tcW w:w="2268" w:type="dxa"/>
            <w:noWrap/>
          </w:tcPr>
          <w:p w14:paraId="471B6AC3" w14:textId="28257173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3,652</w:t>
            </w:r>
          </w:p>
        </w:tc>
        <w:tc>
          <w:tcPr>
            <w:tcW w:w="2552" w:type="dxa"/>
            <w:noWrap/>
          </w:tcPr>
          <w:p w14:paraId="01DBA34B" w14:textId="77777777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A24F37" w:rsidRPr="00726B8C" w14:paraId="7DADB8BE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</w:tcPr>
          <w:p w14:paraId="732CD7A6" w14:textId="757914D4" w:rsidR="00A24F37" w:rsidRPr="00D065B1" w:rsidRDefault="00A24F37" w:rsidP="00B63880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268" w:type="dxa"/>
            <w:noWrap/>
          </w:tcPr>
          <w:p w14:paraId="1A59EC00" w14:textId="0A6F2CB3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3,652</w:t>
            </w:r>
          </w:p>
        </w:tc>
        <w:tc>
          <w:tcPr>
            <w:tcW w:w="2552" w:type="dxa"/>
            <w:noWrap/>
          </w:tcPr>
          <w:p w14:paraId="06BF8DC0" w14:textId="27DF23F6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61F0F" w:rsidRPr="00726B8C" w14:paraId="57B3AC71" w14:textId="77777777" w:rsidTr="00676E9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noWrap/>
            <w:vAlign w:val="bottom"/>
          </w:tcPr>
          <w:p w14:paraId="0F7D5F0A" w14:textId="3719FD8C" w:rsidR="00661F0F" w:rsidRPr="00D065B1" w:rsidRDefault="003C0D87" w:rsidP="003C0D87">
            <w:pPr>
              <w:rPr>
                <w:rFonts w:ascii="Calibri" w:hAnsi="Calibri" w:cs="Calibri"/>
                <w:color w:val="000000"/>
              </w:rPr>
            </w:pPr>
            <w:r w:rsidRPr="00D065B1">
              <w:rPr>
                <w:rFonts w:ascii="Calibri" w:hAnsi="Calibri" w:cs="Calibri"/>
              </w:rPr>
              <w:t xml:space="preserve">Renting a Home (Private Rental </w:t>
            </w:r>
            <w:r w:rsidR="00860A5D" w:rsidRPr="00D065B1">
              <w:rPr>
                <w:rFonts w:ascii="Calibri" w:hAnsi="Calibri" w:cs="Calibri"/>
              </w:rPr>
              <w:t>Accommodation</w:t>
            </w:r>
            <w:r w:rsidR="00860A5D" w:rsidRPr="00D065B1">
              <w:t xml:space="preserve">) </w:t>
            </w:r>
            <w:r w:rsidR="00860A5D" w:rsidRPr="00D065B1">
              <w:rPr>
                <w:rFonts w:ascii="Calibri" w:hAnsi="Calibri" w:cs="Calibri"/>
              </w:rPr>
              <w:t xml:space="preserve"> </w:t>
            </w:r>
            <w:r w:rsidR="005727F6" w:rsidRPr="00D065B1">
              <w:rPr>
                <w:rFonts w:ascii="Calibri" w:hAnsi="Calibri" w:cs="Calibri"/>
              </w:rPr>
              <w:t xml:space="preserve">                                                                  </w:t>
            </w:r>
            <w:r w:rsidR="00553C57" w:rsidRPr="00D065B1">
              <w:rPr>
                <w:rFonts w:ascii="Calibri" w:hAnsi="Calibri" w:cs="Calibri"/>
              </w:rPr>
              <w:t xml:space="preserve">                       </w:t>
            </w:r>
            <w:r w:rsidRPr="00D065B1">
              <w:rPr>
                <w:rFonts w:ascii="Calibri" w:hAnsi="Calibri" w:cs="Calibri"/>
                <w:color w:val="000000"/>
              </w:rPr>
              <w:t xml:space="preserve">11.4%                           </w:t>
            </w:r>
          </w:p>
        </w:tc>
      </w:tr>
      <w:tr w:rsidR="00A24F37" w:rsidRPr="00726B8C" w14:paraId="1D4CFE97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7C3DEF4B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2268" w:type="dxa"/>
            <w:noWrap/>
            <w:vAlign w:val="bottom"/>
          </w:tcPr>
          <w:p w14:paraId="6F12092E" w14:textId="055C011A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572</w:t>
            </w:r>
          </w:p>
        </w:tc>
        <w:tc>
          <w:tcPr>
            <w:tcW w:w="2552" w:type="dxa"/>
            <w:noWrap/>
          </w:tcPr>
          <w:p w14:paraId="21F70A25" w14:textId="3A8E7BC4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22.7%</w:t>
            </w:r>
          </w:p>
        </w:tc>
      </w:tr>
      <w:tr w:rsidR="00A24F37" w:rsidRPr="00726B8C" w14:paraId="01470C3C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7822487B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RTB (Residential Tenancies Board)</w:t>
            </w:r>
          </w:p>
        </w:tc>
        <w:tc>
          <w:tcPr>
            <w:tcW w:w="2268" w:type="dxa"/>
            <w:noWrap/>
            <w:vAlign w:val="bottom"/>
          </w:tcPr>
          <w:p w14:paraId="5643A1AD" w14:textId="04B7559D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410</w:t>
            </w:r>
          </w:p>
        </w:tc>
        <w:tc>
          <w:tcPr>
            <w:tcW w:w="2552" w:type="dxa"/>
            <w:noWrap/>
          </w:tcPr>
          <w:p w14:paraId="7B9E4196" w14:textId="4F61D03A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16.3%</w:t>
            </w:r>
          </w:p>
        </w:tc>
      </w:tr>
      <w:tr w:rsidR="00A24F37" w:rsidRPr="00726B8C" w14:paraId="7226BDF8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2ABAB256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Tenants’ Rights and Obligations</w:t>
            </w:r>
          </w:p>
        </w:tc>
        <w:tc>
          <w:tcPr>
            <w:tcW w:w="2268" w:type="dxa"/>
            <w:noWrap/>
            <w:vAlign w:val="bottom"/>
          </w:tcPr>
          <w:p w14:paraId="57586A1D" w14:textId="07DEE876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377</w:t>
            </w:r>
          </w:p>
        </w:tc>
        <w:tc>
          <w:tcPr>
            <w:tcW w:w="2552" w:type="dxa"/>
            <w:noWrap/>
          </w:tcPr>
          <w:p w14:paraId="75EBCD0F" w14:textId="3368DFEB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15.0%</w:t>
            </w:r>
          </w:p>
        </w:tc>
      </w:tr>
      <w:tr w:rsidR="00A24F37" w:rsidRPr="00726B8C" w14:paraId="049468B5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1D9040EA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Landlords’ Rights &amp; Obligations</w:t>
            </w:r>
          </w:p>
        </w:tc>
        <w:tc>
          <w:tcPr>
            <w:tcW w:w="2268" w:type="dxa"/>
            <w:noWrap/>
            <w:vAlign w:val="bottom"/>
          </w:tcPr>
          <w:p w14:paraId="42170588" w14:textId="43BD0DB5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345</w:t>
            </w:r>
          </w:p>
        </w:tc>
        <w:tc>
          <w:tcPr>
            <w:tcW w:w="2552" w:type="dxa"/>
            <w:noWrap/>
          </w:tcPr>
          <w:p w14:paraId="083C18E9" w14:textId="5F1426F4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13.7%</w:t>
            </w:r>
          </w:p>
        </w:tc>
      </w:tr>
      <w:tr w:rsidR="00A24F37" w:rsidRPr="00726B8C" w14:paraId="5280A773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71D5D47D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Rent Review</w:t>
            </w:r>
          </w:p>
        </w:tc>
        <w:tc>
          <w:tcPr>
            <w:tcW w:w="2268" w:type="dxa"/>
            <w:noWrap/>
            <w:vAlign w:val="bottom"/>
          </w:tcPr>
          <w:p w14:paraId="3345BA85" w14:textId="0554A345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216</w:t>
            </w:r>
          </w:p>
        </w:tc>
        <w:tc>
          <w:tcPr>
            <w:tcW w:w="2552" w:type="dxa"/>
            <w:noWrap/>
          </w:tcPr>
          <w:p w14:paraId="15114494" w14:textId="2E514FFE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8.6%</w:t>
            </w:r>
          </w:p>
        </w:tc>
      </w:tr>
      <w:tr w:rsidR="00A24F37" w:rsidRPr="00726B8C" w14:paraId="04BA5AD4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4A8BB549" w14:textId="67400903" w:rsidR="00A24F37" w:rsidRPr="00D065B1" w:rsidRDefault="00A24F37" w:rsidP="00B63880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Finding Accommodation</w:t>
            </w:r>
          </w:p>
        </w:tc>
        <w:tc>
          <w:tcPr>
            <w:tcW w:w="2268" w:type="dxa"/>
            <w:noWrap/>
            <w:vAlign w:val="bottom"/>
          </w:tcPr>
          <w:p w14:paraId="6CB68403" w14:textId="5D83C8B9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52" w:type="dxa"/>
            <w:noWrap/>
          </w:tcPr>
          <w:p w14:paraId="30F366C5" w14:textId="67825ED1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</w:tr>
      <w:tr w:rsidR="00A24F37" w:rsidRPr="00726B8C" w14:paraId="3540DB15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3D8DB0F3" w14:textId="30C431CD" w:rsidR="00A24F37" w:rsidRPr="00D065B1" w:rsidRDefault="00A24F37" w:rsidP="000432A1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2268" w:type="dxa"/>
            <w:noWrap/>
            <w:vAlign w:val="bottom"/>
          </w:tcPr>
          <w:p w14:paraId="7FCA3683" w14:textId="325CE31E" w:rsidR="00A24F37" w:rsidRPr="00726B8C" w:rsidRDefault="00A24F37" w:rsidP="000432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6B8C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52" w:type="dxa"/>
            <w:noWrap/>
          </w:tcPr>
          <w:p w14:paraId="0B9A306F" w14:textId="14C3AC13" w:rsidR="00A24F37" w:rsidRPr="00726B8C" w:rsidRDefault="00A24F37" w:rsidP="000432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</w:tr>
      <w:tr w:rsidR="00A24F37" w:rsidRPr="00726B8C" w14:paraId="79922092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72D2B715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Rent Arrears/Rent Problems</w:t>
            </w:r>
          </w:p>
        </w:tc>
        <w:tc>
          <w:tcPr>
            <w:tcW w:w="2268" w:type="dxa"/>
            <w:noWrap/>
            <w:vAlign w:val="bottom"/>
          </w:tcPr>
          <w:p w14:paraId="18C686FC" w14:textId="7EDEA636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103</w:t>
            </w:r>
          </w:p>
        </w:tc>
        <w:tc>
          <w:tcPr>
            <w:tcW w:w="2552" w:type="dxa"/>
            <w:noWrap/>
          </w:tcPr>
          <w:p w14:paraId="133529D2" w14:textId="7DAFEB16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</w:tr>
      <w:tr w:rsidR="00A24F37" w:rsidRPr="00726B8C" w14:paraId="6D13D301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64ABAD8C" w14:textId="36077B82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Deposit Retention</w:t>
            </w:r>
          </w:p>
        </w:tc>
        <w:tc>
          <w:tcPr>
            <w:tcW w:w="2268" w:type="dxa"/>
            <w:noWrap/>
            <w:vAlign w:val="bottom"/>
          </w:tcPr>
          <w:p w14:paraId="292DC6A7" w14:textId="2E433C4A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79</w:t>
            </w:r>
          </w:p>
        </w:tc>
        <w:tc>
          <w:tcPr>
            <w:tcW w:w="2552" w:type="dxa"/>
            <w:noWrap/>
          </w:tcPr>
          <w:p w14:paraId="5C2AB2A2" w14:textId="3B265028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</w:tr>
      <w:tr w:rsidR="00A24F37" w:rsidRPr="00726B8C" w14:paraId="2606CC0C" w14:textId="77777777" w:rsidTr="00676E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37E71F70" w14:textId="6C67DF3B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Licensee</w:t>
            </w:r>
          </w:p>
        </w:tc>
        <w:tc>
          <w:tcPr>
            <w:tcW w:w="2268" w:type="dxa"/>
            <w:noWrap/>
            <w:vAlign w:val="bottom"/>
          </w:tcPr>
          <w:p w14:paraId="38ADCC0D" w14:textId="23B8BDC2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54</w:t>
            </w:r>
          </w:p>
        </w:tc>
        <w:tc>
          <w:tcPr>
            <w:tcW w:w="2552" w:type="dxa"/>
            <w:noWrap/>
          </w:tcPr>
          <w:p w14:paraId="7E79E9AF" w14:textId="24221F69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</w:tr>
      <w:tr w:rsidR="00A24F37" w:rsidRPr="00726B8C" w14:paraId="7247C766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103AE942" w14:textId="55B26B91" w:rsidR="00A24F37" w:rsidRPr="00D065B1" w:rsidRDefault="00A24F37" w:rsidP="000432A1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Short-term rental lets</w:t>
            </w:r>
          </w:p>
        </w:tc>
        <w:tc>
          <w:tcPr>
            <w:tcW w:w="2268" w:type="dxa"/>
            <w:noWrap/>
            <w:vAlign w:val="bottom"/>
          </w:tcPr>
          <w:p w14:paraId="3F13333D" w14:textId="65CA5F98" w:rsidR="00A24F37" w:rsidRPr="00726B8C" w:rsidRDefault="00A24F37" w:rsidP="000432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</w:t>
            </w:r>
          </w:p>
        </w:tc>
        <w:tc>
          <w:tcPr>
            <w:tcW w:w="2552" w:type="dxa"/>
            <w:noWrap/>
          </w:tcPr>
          <w:p w14:paraId="5EA16FB8" w14:textId="49EAFB43" w:rsidR="00A24F37" w:rsidRPr="00726B8C" w:rsidRDefault="00A24F37" w:rsidP="000432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</w:tr>
      <w:tr w:rsidR="00A24F37" w:rsidRPr="00726B8C" w14:paraId="023849D5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16FA44B9" w14:textId="3B02D9AA" w:rsidR="00A24F37" w:rsidRPr="00D065B1" w:rsidRDefault="00A24F37" w:rsidP="000432A1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Cost Rental – Cost Rental Housing</w:t>
            </w:r>
          </w:p>
        </w:tc>
        <w:tc>
          <w:tcPr>
            <w:tcW w:w="2268" w:type="dxa"/>
            <w:noWrap/>
            <w:vAlign w:val="bottom"/>
          </w:tcPr>
          <w:p w14:paraId="1A2B29E7" w14:textId="5D328B01" w:rsidR="00A24F37" w:rsidRPr="00726B8C" w:rsidRDefault="00A24F37" w:rsidP="000432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695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552" w:type="dxa"/>
            <w:noWrap/>
          </w:tcPr>
          <w:p w14:paraId="04F33B58" w14:textId="2189EE6F" w:rsidR="00A24F37" w:rsidRPr="00726B8C" w:rsidRDefault="00A24F37" w:rsidP="000432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</w:tr>
      <w:tr w:rsidR="00A24F37" w:rsidRPr="00726B8C" w14:paraId="5F0615F8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1A2024B0" w14:textId="3AED450B" w:rsidR="00A24F37" w:rsidRPr="00D065B1" w:rsidRDefault="00A24F37" w:rsidP="00B30AAD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Cost Rental – Tenant in situ scheme</w:t>
            </w:r>
          </w:p>
        </w:tc>
        <w:tc>
          <w:tcPr>
            <w:tcW w:w="2268" w:type="dxa"/>
            <w:noWrap/>
            <w:vAlign w:val="bottom"/>
          </w:tcPr>
          <w:p w14:paraId="5E2C3E1D" w14:textId="64BA10DD" w:rsidR="00A24F37" w:rsidRPr="00726B8C" w:rsidRDefault="00A24F37" w:rsidP="00B30A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2552" w:type="dxa"/>
            <w:noWrap/>
          </w:tcPr>
          <w:p w14:paraId="6257D7FE" w14:textId="3E5C6BA2" w:rsidR="00A24F37" w:rsidRPr="00726B8C" w:rsidRDefault="00A24F37" w:rsidP="00B30A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</w:tr>
      <w:tr w:rsidR="00A24F37" w:rsidRPr="00726B8C" w14:paraId="10FC50E2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vAlign w:val="bottom"/>
          </w:tcPr>
          <w:p w14:paraId="4CE98227" w14:textId="3E6031AF" w:rsidR="00A24F37" w:rsidRPr="00D065B1" w:rsidRDefault="00A24F37" w:rsidP="00B30AAD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65B1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Non-Resident Landlords (Withholding Tax)</w:t>
            </w:r>
          </w:p>
        </w:tc>
        <w:tc>
          <w:tcPr>
            <w:tcW w:w="2268" w:type="dxa"/>
            <w:noWrap/>
            <w:vAlign w:val="bottom"/>
          </w:tcPr>
          <w:p w14:paraId="35330303" w14:textId="0B5EE6C9" w:rsidR="00A24F37" w:rsidRPr="00726B8C" w:rsidRDefault="00A24F37" w:rsidP="00B30A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726B8C">
              <w:rPr>
                <w:rFonts w:eastAsia="Times New Roman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552" w:type="dxa"/>
            <w:noWrap/>
          </w:tcPr>
          <w:p w14:paraId="010752B3" w14:textId="287A2AB2" w:rsidR="00A24F37" w:rsidRPr="00726B8C" w:rsidRDefault="00A24F37" w:rsidP="00B30A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B8C"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</w:tr>
      <w:tr w:rsidR="00A24F37" w:rsidRPr="00726B8C" w14:paraId="48DEFAD5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5E437ACA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268" w:type="dxa"/>
            <w:noWrap/>
            <w:hideMark/>
          </w:tcPr>
          <w:p w14:paraId="5DCA7065" w14:textId="30865CCE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2,515</w:t>
            </w:r>
          </w:p>
        </w:tc>
        <w:tc>
          <w:tcPr>
            <w:tcW w:w="2552" w:type="dxa"/>
            <w:noWrap/>
            <w:hideMark/>
          </w:tcPr>
          <w:p w14:paraId="3A46CACD" w14:textId="77777777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95DFD" w:rsidRPr="00726B8C" w14:paraId="45CABB80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noWrap/>
          </w:tcPr>
          <w:p w14:paraId="46F5264A" w14:textId="309EDEC5" w:rsidR="00695DFD" w:rsidRPr="00D065B1" w:rsidRDefault="00695DFD" w:rsidP="00553C57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</w:rPr>
              <w:t>Home Energy Grants</w:t>
            </w:r>
            <w:r w:rsidR="006447C9" w:rsidRPr="00D065B1">
              <w:rPr>
                <w:rFonts w:ascii="Calibri" w:hAnsi="Calibri" w:cs="Calibri"/>
              </w:rPr>
              <w:t xml:space="preserve"> (</w:t>
            </w:r>
            <w:r w:rsidR="00860A5D" w:rsidRPr="00D065B1">
              <w:rPr>
                <w:rFonts w:ascii="Calibri" w:hAnsi="Calibri" w:cs="Calibri"/>
              </w:rPr>
              <w:t xml:space="preserve">SEAI)  </w:t>
            </w:r>
            <w:r w:rsidR="005727F6" w:rsidRPr="00D065B1">
              <w:rPr>
                <w:rFonts w:ascii="Calibri" w:hAnsi="Calibri" w:cs="Calibri"/>
              </w:rPr>
              <w:t xml:space="preserve">                        </w:t>
            </w:r>
            <w:r w:rsidR="00676E98" w:rsidRPr="00D065B1">
              <w:rPr>
                <w:rFonts w:ascii="Calibri" w:hAnsi="Calibri" w:cs="Calibri"/>
              </w:rPr>
              <w:t xml:space="preserve"> </w:t>
            </w:r>
            <w:r w:rsidR="005727F6" w:rsidRPr="00D065B1">
              <w:rPr>
                <w:rFonts w:ascii="Calibri" w:hAnsi="Calibri" w:cs="Calibri"/>
              </w:rPr>
              <w:t xml:space="preserve">                                                                                </w:t>
            </w:r>
            <w:r w:rsidR="00553C57" w:rsidRPr="00D065B1">
              <w:rPr>
                <w:rFonts w:ascii="Calibri" w:hAnsi="Calibri" w:cs="Calibri"/>
              </w:rPr>
              <w:t xml:space="preserve">                      </w:t>
            </w:r>
            <w:r w:rsidR="005727F6" w:rsidRPr="00D065B1">
              <w:rPr>
                <w:rFonts w:ascii="Calibri" w:hAnsi="Calibri" w:cs="Calibri"/>
              </w:rPr>
              <w:t xml:space="preserve">     </w:t>
            </w:r>
            <w:r w:rsidR="006447C9" w:rsidRPr="00D065B1">
              <w:rPr>
                <w:rFonts w:ascii="Calibri" w:hAnsi="Calibri" w:cs="Calibri"/>
                <w:color w:val="000000"/>
              </w:rPr>
              <w:t>7.4%</w:t>
            </w:r>
          </w:p>
        </w:tc>
      </w:tr>
      <w:tr w:rsidR="00A24F37" w:rsidRPr="00726B8C" w14:paraId="461B5202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</w:tcPr>
          <w:p w14:paraId="7623779B" w14:textId="1F78FA19" w:rsidR="00A24F37" w:rsidRPr="00D065B1" w:rsidRDefault="00A24F37" w:rsidP="00B63880">
            <w:pPr>
              <w:rPr>
                <w:rFonts w:eastAsia="Times New Roman"/>
                <w:b w:val="0"/>
                <w:bCs w:val="0"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Home Energy Grants</w:t>
            </w:r>
          </w:p>
        </w:tc>
        <w:tc>
          <w:tcPr>
            <w:tcW w:w="2268" w:type="dxa"/>
            <w:noWrap/>
          </w:tcPr>
          <w:p w14:paraId="49B061F4" w14:textId="6C375F24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1,633</w:t>
            </w:r>
          </w:p>
        </w:tc>
        <w:tc>
          <w:tcPr>
            <w:tcW w:w="2552" w:type="dxa"/>
            <w:noWrap/>
          </w:tcPr>
          <w:p w14:paraId="0EAAB62B" w14:textId="77777777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A24F37" w:rsidRPr="00726B8C" w14:paraId="40D2C71A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</w:tcPr>
          <w:p w14:paraId="50B4B0EA" w14:textId="5E95184B" w:rsidR="00A24F37" w:rsidRPr="00D065B1" w:rsidRDefault="00A24F37" w:rsidP="00B63880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268" w:type="dxa"/>
            <w:noWrap/>
          </w:tcPr>
          <w:p w14:paraId="3EF3E27D" w14:textId="3900AD65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1,633</w:t>
            </w:r>
          </w:p>
        </w:tc>
        <w:tc>
          <w:tcPr>
            <w:tcW w:w="2552" w:type="dxa"/>
            <w:noWrap/>
          </w:tcPr>
          <w:p w14:paraId="2D44BB50" w14:textId="4466EC23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C0D87" w:rsidRPr="00726B8C" w14:paraId="79F329B4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noWrap/>
          </w:tcPr>
          <w:p w14:paraId="545FCAC7" w14:textId="0A867A0D" w:rsidR="003C0D87" w:rsidRPr="00D065B1" w:rsidRDefault="003C0D87" w:rsidP="003C0D87">
            <w:pPr>
              <w:rPr>
                <w:rFonts w:ascii="Calibri" w:hAnsi="Calibri" w:cs="Calibri"/>
                <w:color w:val="000000"/>
              </w:rPr>
            </w:pPr>
            <w:r w:rsidRPr="00D065B1">
              <w:rPr>
                <w:rFonts w:ascii="Calibri" w:hAnsi="Calibri" w:cs="Calibri"/>
              </w:rPr>
              <w:t>Homelessness</w:t>
            </w:r>
            <w:r w:rsidR="00D115D1" w:rsidRPr="00D065B1">
              <w:rPr>
                <w:rFonts w:ascii="Calibri" w:hAnsi="Calibri" w:cs="Calibri"/>
              </w:rPr>
              <w:t xml:space="preserve"> </w:t>
            </w:r>
            <w:r w:rsidR="00D115D1" w:rsidRPr="00D065B1">
              <w:rPr>
                <w:rFonts w:ascii="Calibri" w:hAnsi="Calibri" w:cs="Calibri"/>
                <w:color w:val="000000"/>
              </w:rPr>
              <w:t xml:space="preserve">                                                      </w:t>
            </w:r>
            <w:r w:rsidR="00676E98" w:rsidRPr="00D065B1">
              <w:rPr>
                <w:rFonts w:ascii="Calibri" w:hAnsi="Calibri" w:cs="Calibri"/>
                <w:color w:val="000000"/>
              </w:rPr>
              <w:t xml:space="preserve">        </w:t>
            </w:r>
            <w:r w:rsidR="005727F6" w:rsidRPr="00D065B1">
              <w:rPr>
                <w:rFonts w:ascii="Calibri" w:hAnsi="Calibri" w:cs="Calibri"/>
                <w:color w:val="000000"/>
              </w:rPr>
              <w:t xml:space="preserve">                                                                      </w:t>
            </w:r>
            <w:r w:rsidR="00553C57" w:rsidRPr="00D065B1"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="005727F6" w:rsidRPr="00D065B1">
              <w:rPr>
                <w:rFonts w:ascii="Calibri" w:hAnsi="Calibri" w:cs="Calibri"/>
                <w:color w:val="000000"/>
              </w:rPr>
              <w:t xml:space="preserve">     </w:t>
            </w:r>
            <w:r w:rsidR="00D115D1" w:rsidRPr="00D065B1">
              <w:rPr>
                <w:rFonts w:ascii="Calibri" w:hAnsi="Calibri" w:cs="Calibri"/>
                <w:color w:val="000000"/>
              </w:rPr>
              <w:t>4.3%</w:t>
            </w:r>
          </w:p>
        </w:tc>
      </w:tr>
      <w:tr w:rsidR="00A24F37" w:rsidRPr="00726B8C" w14:paraId="5D137F04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234129A9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2268" w:type="dxa"/>
            <w:noWrap/>
            <w:hideMark/>
          </w:tcPr>
          <w:p w14:paraId="15E7F77D" w14:textId="4B6C68A6" w:rsidR="00A24F37" w:rsidRPr="00726B8C" w:rsidRDefault="006447C9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949</w:t>
            </w:r>
          </w:p>
        </w:tc>
        <w:tc>
          <w:tcPr>
            <w:tcW w:w="2552" w:type="dxa"/>
            <w:noWrap/>
          </w:tcPr>
          <w:p w14:paraId="7F0E27A2" w14:textId="77777777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24F37" w:rsidRPr="00726B8C" w14:paraId="25B06656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3CC598F4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268" w:type="dxa"/>
            <w:noWrap/>
            <w:hideMark/>
          </w:tcPr>
          <w:p w14:paraId="038998F8" w14:textId="4CCD06AF" w:rsidR="00A24F37" w:rsidRPr="00726B8C" w:rsidRDefault="006447C9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949</w:t>
            </w:r>
          </w:p>
        </w:tc>
        <w:tc>
          <w:tcPr>
            <w:tcW w:w="2552" w:type="dxa"/>
            <w:noWrap/>
            <w:hideMark/>
          </w:tcPr>
          <w:p w14:paraId="50BE0AC7" w14:textId="77777777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115D1" w:rsidRPr="00726B8C" w14:paraId="760F7943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noWrap/>
          </w:tcPr>
          <w:p w14:paraId="7A2B9C13" w14:textId="5EC42EA7" w:rsidR="00D115D1" w:rsidRPr="00D065B1" w:rsidRDefault="00D115D1" w:rsidP="00473454">
            <w:pPr>
              <w:rPr>
                <w:rFonts w:ascii="Calibri" w:hAnsi="Calibri" w:cs="Calibri"/>
                <w:color w:val="000000"/>
              </w:rPr>
            </w:pPr>
            <w:r w:rsidRPr="00D065B1">
              <w:rPr>
                <w:rFonts w:ascii="Calibri" w:hAnsi="Calibri" w:cs="Calibri"/>
              </w:rPr>
              <w:t>Other</w:t>
            </w:r>
            <w:r w:rsidRPr="00D065B1">
              <w:rPr>
                <w:rFonts w:ascii="Calibri" w:hAnsi="Calibri" w:cs="Calibri"/>
                <w:color w:val="000000"/>
              </w:rPr>
              <w:tab/>
            </w:r>
            <w:r w:rsidR="00473454" w:rsidRPr="00D065B1">
              <w:rPr>
                <w:rFonts w:ascii="Calibri" w:hAnsi="Calibri" w:cs="Calibri"/>
                <w:color w:val="000000"/>
              </w:rPr>
              <w:t xml:space="preserve">                                                                   </w:t>
            </w:r>
            <w:r w:rsidR="005727F6" w:rsidRPr="00D065B1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</w:t>
            </w:r>
            <w:r w:rsidR="00473454" w:rsidRPr="00D065B1">
              <w:rPr>
                <w:rFonts w:ascii="Calibri" w:hAnsi="Calibri" w:cs="Calibri"/>
                <w:color w:val="000000"/>
              </w:rPr>
              <w:t xml:space="preserve">  </w:t>
            </w:r>
            <w:r w:rsidR="00553C57" w:rsidRPr="00D065B1">
              <w:rPr>
                <w:rFonts w:ascii="Calibri" w:hAnsi="Calibri" w:cs="Calibri"/>
                <w:color w:val="000000"/>
              </w:rPr>
              <w:t xml:space="preserve">                     </w:t>
            </w:r>
            <w:r w:rsidR="0025314B" w:rsidRPr="00D065B1">
              <w:rPr>
                <w:rFonts w:ascii="Calibri" w:hAnsi="Calibri" w:cs="Calibri"/>
                <w:color w:val="000000"/>
              </w:rPr>
              <w:t xml:space="preserve">   </w:t>
            </w:r>
            <w:r w:rsidR="00473454" w:rsidRPr="00D065B1">
              <w:rPr>
                <w:rFonts w:ascii="Calibri" w:hAnsi="Calibri" w:cs="Calibri"/>
                <w:color w:val="000000"/>
              </w:rPr>
              <w:t xml:space="preserve">  </w:t>
            </w:r>
            <w:r w:rsidRPr="00D065B1">
              <w:rPr>
                <w:rFonts w:ascii="Calibri" w:hAnsi="Calibri" w:cs="Calibri"/>
                <w:color w:val="000000"/>
              </w:rPr>
              <w:t>3.8%</w:t>
            </w:r>
          </w:p>
        </w:tc>
      </w:tr>
      <w:tr w:rsidR="00A24F37" w:rsidRPr="00726B8C" w14:paraId="42D04444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</w:tcPr>
          <w:p w14:paraId="7E0FBFD6" w14:textId="14C06740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268" w:type="dxa"/>
            <w:noWrap/>
          </w:tcPr>
          <w:p w14:paraId="3D3F6908" w14:textId="674DBF57" w:rsidR="00A24F37" w:rsidRPr="0059604A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9604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841</w:t>
            </w:r>
          </w:p>
        </w:tc>
        <w:tc>
          <w:tcPr>
            <w:tcW w:w="2552" w:type="dxa"/>
            <w:noWrap/>
          </w:tcPr>
          <w:p w14:paraId="44AD2E26" w14:textId="77777777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A24F37" w:rsidRPr="00726B8C" w14:paraId="2D5E1D4E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</w:tcPr>
          <w:p w14:paraId="4C77B01E" w14:textId="1BC6C322" w:rsidR="00A24F37" w:rsidRPr="00D065B1" w:rsidRDefault="00A24F37" w:rsidP="00B638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268" w:type="dxa"/>
            <w:noWrap/>
          </w:tcPr>
          <w:p w14:paraId="26AC4EE2" w14:textId="79DABF57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726B8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841</w:t>
            </w:r>
          </w:p>
        </w:tc>
        <w:tc>
          <w:tcPr>
            <w:tcW w:w="2552" w:type="dxa"/>
            <w:noWrap/>
          </w:tcPr>
          <w:p w14:paraId="3B5B01BA" w14:textId="411B9DFD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</w:tbl>
    <w:p w14:paraId="65ECFEFC" w14:textId="77777777" w:rsidR="00860A5D" w:rsidRDefault="00860A5D">
      <w:r>
        <w:rPr>
          <w:b/>
          <w:bCs/>
        </w:rPr>
        <w:br w:type="page"/>
      </w:r>
    </w:p>
    <w:tbl>
      <w:tblPr>
        <w:tblStyle w:val="GridTable5Dark-Accent6"/>
        <w:tblW w:w="9918" w:type="dxa"/>
        <w:tblLook w:val="04A0" w:firstRow="1" w:lastRow="0" w:firstColumn="1" w:lastColumn="0" w:noHBand="0" w:noVBand="1"/>
        <w:tblCaption w:val="Table 7 Housing Query Breakdown Quarter 1 2021"/>
        <w:tblDescription w:val="This table shows the housing query dataset for Qtr 1 2021"/>
      </w:tblPr>
      <w:tblGrid>
        <w:gridCol w:w="5098"/>
        <w:gridCol w:w="2268"/>
        <w:gridCol w:w="2552"/>
      </w:tblGrid>
      <w:tr w:rsidR="00D115D1" w:rsidRPr="00726B8C" w14:paraId="43F309DB" w14:textId="77777777" w:rsidTr="00676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noWrap/>
          </w:tcPr>
          <w:p w14:paraId="6BCD7449" w14:textId="2DD1D534" w:rsidR="00D115D1" w:rsidRPr="00D065B1" w:rsidRDefault="00D115D1" w:rsidP="00473454">
            <w:pPr>
              <w:rPr>
                <w:rFonts w:ascii="Calibri" w:hAnsi="Calibri" w:cs="Calibri"/>
                <w:color w:val="000000"/>
              </w:rPr>
            </w:pPr>
            <w:r w:rsidRPr="00D065B1">
              <w:rPr>
                <w:rFonts w:ascii="Calibri" w:hAnsi="Calibri" w:cs="Calibri"/>
              </w:rPr>
              <w:lastRenderedPageBreak/>
              <w:t>Buyin</w:t>
            </w:r>
            <w:r w:rsidR="00D85D9A" w:rsidRPr="00D065B1">
              <w:rPr>
                <w:rFonts w:ascii="Calibri" w:hAnsi="Calibri" w:cs="Calibri"/>
              </w:rPr>
              <w:t>g/Owning a Home</w:t>
            </w:r>
            <w:r w:rsidR="004F5118" w:rsidRPr="00D065B1">
              <w:rPr>
                <w:rFonts w:ascii="Calibri" w:hAnsi="Calibri" w:cs="Calibri"/>
                <w:color w:val="000000"/>
              </w:rPr>
              <w:tab/>
            </w:r>
            <w:r w:rsidR="00473454" w:rsidRPr="00D065B1">
              <w:rPr>
                <w:rFonts w:ascii="Calibri" w:hAnsi="Calibri" w:cs="Calibri"/>
                <w:color w:val="000000"/>
              </w:rPr>
              <w:t xml:space="preserve">                         </w:t>
            </w:r>
            <w:r w:rsidR="005727F6" w:rsidRPr="00D065B1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</w:t>
            </w:r>
            <w:r w:rsidR="00473454" w:rsidRPr="00D065B1">
              <w:rPr>
                <w:rFonts w:ascii="Calibri" w:hAnsi="Calibri" w:cs="Calibri"/>
                <w:color w:val="000000"/>
              </w:rPr>
              <w:t xml:space="preserve">  </w:t>
            </w:r>
            <w:r w:rsidR="00553C57" w:rsidRPr="00D065B1">
              <w:rPr>
                <w:rFonts w:ascii="Calibri" w:hAnsi="Calibri" w:cs="Calibri"/>
                <w:color w:val="000000"/>
              </w:rPr>
              <w:t xml:space="preserve">                 </w:t>
            </w:r>
            <w:r w:rsidR="00473454" w:rsidRPr="00D065B1">
              <w:rPr>
                <w:rFonts w:ascii="Calibri" w:hAnsi="Calibri" w:cs="Calibri"/>
                <w:color w:val="000000"/>
              </w:rPr>
              <w:t xml:space="preserve">        </w:t>
            </w:r>
            <w:r w:rsidR="004F5118" w:rsidRPr="00D065B1">
              <w:rPr>
                <w:rFonts w:ascii="Calibri" w:hAnsi="Calibri" w:cs="Calibri"/>
                <w:color w:val="000000"/>
              </w:rPr>
              <w:t>2.9%</w:t>
            </w:r>
          </w:p>
        </w:tc>
      </w:tr>
      <w:tr w:rsidR="00A24F37" w:rsidRPr="00726B8C" w14:paraId="4B1F3841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500A2A46" w14:textId="5379FD89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Buying</w:t>
            </w:r>
            <w:r w:rsidR="00D85D9A"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/ Owning</w:t>
            </w:r>
            <w:r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 xml:space="preserve"> a Home</w:t>
            </w:r>
          </w:p>
        </w:tc>
        <w:tc>
          <w:tcPr>
            <w:tcW w:w="2268" w:type="dxa"/>
            <w:noWrap/>
          </w:tcPr>
          <w:p w14:paraId="3104AAFE" w14:textId="6361D829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635</w:t>
            </w:r>
          </w:p>
        </w:tc>
        <w:tc>
          <w:tcPr>
            <w:tcW w:w="2552" w:type="dxa"/>
            <w:noWrap/>
            <w:hideMark/>
          </w:tcPr>
          <w:p w14:paraId="1B208F1E" w14:textId="77777777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24F37" w:rsidRPr="00726B8C" w14:paraId="6388D58B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303AE993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268" w:type="dxa"/>
            <w:noWrap/>
          </w:tcPr>
          <w:p w14:paraId="5F1F730F" w14:textId="7CA8075E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635</w:t>
            </w:r>
          </w:p>
        </w:tc>
        <w:tc>
          <w:tcPr>
            <w:tcW w:w="2552" w:type="dxa"/>
            <w:noWrap/>
            <w:hideMark/>
          </w:tcPr>
          <w:p w14:paraId="548DEB4D" w14:textId="77777777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B607F" w:rsidRPr="0025314B" w14:paraId="57B7F6E1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noWrap/>
          </w:tcPr>
          <w:p w14:paraId="78FE8818" w14:textId="74C0F984" w:rsidR="004B607F" w:rsidRPr="00D065B1" w:rsidRDefault="004B607F" w:rsidP="004B607F">
            <w:pPr>
              <w:rPr>
                <w:rFonts w:ascii="Calibri" w:hAnsi="Calibri" w:cs="Calibri"/>
                <w:color w:val="000000"/>
              </w:rPr>
            </w:pPr>
            <w:r w:rsidRPr="00D065B1">
              <w:rPr>
                <w:rFonts w:ascii="Calibri" w:hAnsi="Calibri" w:cs="Calibri"/>
              </w:rPr>
              <w:t xml:space="preserve">Planning </w:t>
            </w:r>
            <w:r w:rsidR="006447C9" w:rsidRPr="00D065B1">
              <w:rPr>
                <w:rFonts w:ascii="Calibri" w:hAnsi="Calibri" w:cs="Calibri"/>
              </w:rPr>
              <w:t>Permission</w:t>
            </w:r>
            <w:r w:rsidR="006F324A" w:rsidRPr="00D065B1">
              <w:rPr>
                <w:rFonts w:ascii="Calibri" w:hAnsi="Calibri" w:cs="Calibri"/>
                <w:color w:val="000000"/>
              </w:rPr>
              <w:t xml:space="preserve">        </w:t>
            </w:r>
            <w:r w:rsidR="00676E98" w:rsidRPr="00D065B1">
              <w:rPr>
                <w:rFonts w:ascii="Calibri" w:hAnsi="Calibri" w:cs="Calibri"/>
                <w:color w:val="000000"/>
              </w:rPr>
              <w:t xml:space="preserve"> </w:t>
            </w:r>
            <w:r w:rsidR="006F324A" w:rsidRPr="00D065B1">
              <w:rPr>
                <w:rFonts w:ascii="Calibri" w:hAnsi="Calibri" w:cs="Calibri"/>
                <w:color w:val="000000"/>
              </w:rPr>
              <w:t xml:space="preserve">            </w:t>
            </w:r>
            <w:r w:rsidR="00473454" w:rsidRPr="00D065B1">
              <w:rPr>
                <w:rFonts w:ascii="Calibri" w:hAnsi="Calibri" w:cs="Calibri"/>
                <w:color w:val="000000"/>
              </w:rPr>
              <w:t xml:space="preserve">                     </w:t>
            </w:r>
            <w:r w:rsidR="005727F6" w:rsidRPr="00D065B1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</w:t>
            </w:r>
            <w:r w:rsidR="00473454" w:rsidRPr="00D065B1">
              <w:rPr>
                <w:rFonts w:ascii="Calibri" w:hAnsi="Calibri" w:cs="Calibri"/>
                <w:color w:val="000000"/>
              </w:rPr>
              <w:t xml:space="preserve">     </w:t>
            </w:r>
            <w:r w:rsidR="00553C57" w:rsidRPr="00D065B1"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="006F324A" w:rsidRPr="00D065B1">
              <w:rPr>
                <w:rFonts w:ascii="Calibri" w:hAnsi="Calibri" w:cs="Calibri"/>
                <w:color w:val="000000"/>
              </w:rPr>
              <w:t xml:space="preserve">    0.6%</w:t>
            </w:r>
          </w:p>
        </w:tc>
      </w:tr>
      <w:tr w:rsidR="00A24F37" w:rsidRPr="00726B8C" w14:paraId="207532B2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5F46662D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2268" w:type="dxa"/>
            <w:noWrap/>
            <w:hideMark/>
          </w:tcPr>
          <w:p w14:paraId="2ACAB52D" w14:textId="473FE383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125</w:t>
            </w:r>
          </w:p>
        </w:tc>
        <w:tc>
          <w:tcPr>
            <w:tcW w:w="2552" w:type="dxa"/>
            <w:noWrap/>
          </w:tcPr>
          <w:p w14:paraId="3D95373F" w14:textId="77777777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24F37" w:rsidRPr="00726B8C" w14:paraId="72F95BA4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018754BC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268" w:type="dxa"/>
            <w:noWrap/>
            <w:hideMark/>
          </w:tcPr>
          <w:p w14:paraId="3FCA61D3" w14:textId="59919744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125</w:t>
            </w:r>
          </w:p>
        </w:tc>
        <w:tc>
          <w:tcPr>
            <w:tcW w:w="2552" w:type="dxa"/>
            <w:noWrap/>
          </w:tcPr>
          <w:p w14:paraId="5217B7F7" w14:textId="77777777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F324A" w:rsidRPr="00726B8C" w14:paraId="599527DC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noWrap/>
          </w:tcPr>
          <w:p w14:paraId="7021BE79" w14:textId="1CD2653B" w:rsidR="006F324A" w:rsidRPr="00D065B1" w:rsidRDefault="006F324A" w:rsidP="00473454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ascii="Calibri" w:hAnsi="Calibri" w:cs="Calibri"/>
                <w:sz w:val="24"/>
                <w:szCs w:val="24"/>
              </w:rPr>
              <w:t>Losing your Home</w:t>
            </w:r>
            <w:r w:rsidRPr="00D065B1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="00473454" w:rsidRPr="00D065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 w:rsidR="0025314B" w:rsidRPr="00D065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="00473454" w:rsidRPr="00D065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</w:t>
            </w:r>
            <w:r w:rsidR="005727F6" w:rsidRPr="00D065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="00473454" w:rsidRPr="00D065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</w:t>
            </w:r>
            <w:r w:rsidRPr="00D065B1">
              <w:rPr>
                <w:rFonts w:ascii="Calibri" w:hAnsi="Calibri" w:cs="Calibri"/>
                <w:color w:val="000000"/>
              </w:rPr>
              <w:t>0.5%</w:t>
            </w:r>
          </w:p>
        </w:tc>
      </w:tr>
      <w:tr w:rsidR="00A24F37" w:rsidRPr="00726B8C" w14:paraId="4C5301BC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</w:tcPr>
          <w:p w14:paraId="0F556BAC" w14:textId="252B5E90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Losing you</w:t>
            </w:r>
            <w:r w:rsidR="006447C9"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r</w:t>
            </w:r>
            <w:r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 xml:space="preserve"> Home</w:t>
            </w:r>
          </w:p>
        </w:tc>
        <w:tc>
          <w:tcPr>
            <w:tcW w:w="2268" w:type="dxa"/>
            <w:noWrap/>
          </w:tcPr>
          <w:p w14:paraId="5B104CD2" w14:textId="17AE28CB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104</w:t>
            </w:r>
          </w:p>
        </w:tc>
        <w:tc>
          <w:tcPr>
            <w:tcW w:w="2552" w:type="dxa"/>
            <w:noWrap/>
          </w:tcPr>
          <w:p w14:paraId="1B5FFBFE" w14:textId="77777777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A24F37" w:rsidRPr="00726B8C" w14:paraId="45301A98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</w:tcPr>
          <w:p w14:paraId="185AF6BE" w14:textId="11EAA843" w:rsidR="00A24F37" w:rsidRPr="00D065B1" w:rsidRDefault="00A24F37" w:rsidP="00B638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268" w:type="dxa"/>
            <w:noWrap/>
          </w:tcPr>
          <w:p w14:paraId="74B89B94" w14:textId="319F0E32" w:rsidR="00A24F37" w:rsidRPr="00726B8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104</w:t>
            </w:r>
          </w:p>
        </w:tc>
        <w:tc>
          <w:tcPr>
            <w:tcW w:w="2552" w:type="dxa"/>
            <w:noWrap/>
          </w:tcPr>
          <w:p w14:paraId="693584AF" w14:textId="53DD73B4" w:rsidR="00A24F37" w:rsidRPr="008F6C00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6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E260BC" w:rsidRPr="00726B8C" w14:paraId="20D491B2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noWrap/>
          </w:tcPr>
          <w:p w14:paraId="748EAECB" w14:textId="553042BE" w:rsidR="00E260BC" w:rsidRPr="00D065B1" w:rsidRDefault="00E260BC" w:rsidP="00553C5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65B1">
              <w:rPr>
                <w:rFonts w:ascii="Calibri" w:hAnsi="Calibri" w:cs="Calibri"/>
              </w:rPr>
              <w:t>All other subcategories</w:t>
            </w:r>
            <w:r w:rsidR="005727F6" w:rsidRPr="00D065B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</w:t>
            </w:r>
            <w:r w:rsidR="00553C57" w:rsidRPr="00D065B1">
              <w:rPr>
                <w:rFonts w:ascii="Calibri" w:hAnsi="Calibri" w:cs="Calibri"/>
              </w:rPr>
              <w:t xml:space="preserve">                      </w:t>
            </w:r>
            <w:r w:rsidR="005727F6" w:rsidRPr="00D065B1">
              <w:rPr>
                <w:rFonts w:ascii="Calibri" w:hAnsi="Calibri" w:cs="Calibri"/>
              </w:rPr>
              <w:t xml:space="preserve">    </w:t>
            </w:r>
            <w:r w:rsidR="009868D6" w:rsidRPr="00D065B1">
              <w:rPr>
                <w:rFonts w:ascii="Calibri" w:hAnsi="Calibri" w:cs="Calibri"/>
                <w:color w:val="000000"/>
              </w:rPr>
              <w:t>1.0%</w:t>
            </w:r>
          </w:p>
        </w:tc>
      </w:tr>
      <w:tr w:rsidR="00A24F37" w:rsidRPr="00726B8C" w14:paraId="7A4E361B" w14:textId="77777777" w:rsidTr="00676E9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4C273389" w14:textId="3E32EF31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All other sub-categories</w:t>
            </w:r>
            <w:r w:rsidR="006406A8" w:rsidRPr="00D065B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2268" w:type="dxa"/>
            <w:noWrap/>
          </w:tcPr>
          <w:p w14:paraId="16F0EC35" w14:textId="5BC7EBE5" w:rsidR="00A24F37" w:rsidRPr="00726B8C" w:rsidRDefault="00520E1F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226</w:t>
            </w:r>
          </w:p>
        </w:tc>
        <w:tc>
          <w:tcPr>
            <w:tcW w:w="2552" w:type="dxa"/>
            <w:noWrap/>
          </w:tcPr>
          <w:p w14:paraId="33A27423" w14:textId="77777777" w:rsidR="00A24F37" w:rsidRPr="00E260BC" w:rsidRDefault="00A24F37" w:rsidP="00B638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24F37" w:rsidRPr="00726B8C" w14:paraId="7377C4D4" w14:textId="77777777" w:rsidTr="0067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4E6A68EF" w14:textId="77777777" w:rsidR="00A24F37" w:rsidRPr="00D065B1" w:rsidRDefault="00A24F37" w:rsidP="00B638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D065B1">
              <w:rPr>
                <w:rFonts w:ascii="Calibri" w:eastAsia="Times New Roman" w:hAnsi="Calibri" w:cs="Calibri"/>
                <w:color w:val="000000"/>
                <w:lang w:eastAsia="en-IE"/>
              </w:rPr>
              <w:t>Total</w:t>
            </w:r>
          </w:p>
        </w:tc>
        <w:tc>
          <w:tcPr>
            <w:tcW w:w="2268" w:type="dxa"/>
            <w:noWrap/>
            <w:hideMark/>
          </w:tcPr>
          <w:p w14:paraId="634886E4" w14:textId="32449567" w:rsidR="00A24F37" w:rsidRPr="00726B8C" w:rsidRDefault="00520E1F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226</w:t>
            </w:r>
          </w:p>
        </w:tc>
        <w:tc>
          <w:tcPr>
            <w:tcW w:w="2552" w:type="dxa"/>
            <w:noWrap/>
            <w:hideMark/>
          </w:tcPr>
          <w:p w14:paraId="706BD282" w14:textId="77777777" w:rsidR="00A24F37" w:rsidRPr="00726B8C" w:rsidRDefault="00A24F37" w:rsidP="00B638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24F37" w:rsidRPr="00726B8C" w14:paraId="50029CCF" w14:textId="77777777" w:rsidTr="00676E9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14:paraId="5F52CEE3" w14:textId="77777777" w:rsidR="00A24F37" w:rsidRPr="00D065B1" w:rsidRDefault="00A24F37" w:rsidP="00553C57">
            <w:pPr>
              <w:rPr>
                <w:rFonts w:ascii="Calibri" w:hAnsi="Calibri" w:cs="Calibri"/>
                <w:color w:val="000000"/>
              </w:rPr>
            </w:pPr>
            <w:r w:rsidRPr="00D065B1">
              <w:rPr>
                <w:rFonts w:ascii="Calibri" w:hAnsi="Calibri" w:cs="Calibri"/>
                <w:color w:val="000000"/>
              </w:rPr>
              <w:t>Total Housing Queries</w:t>
            </w:r>
          </w:p>
        </w:tc>
        <w:tc>
          <w:tcPr>
            <w:tcW w:w="2268" w:type="dxa"/>
            <w:shd w:val="clear" w:color="auto" w:fill="62A39F" w:themeFill="accent6"/>
            <w:noWrap/>
            <w:hideMark/>
          </w:tcPr>
          <w:p w14:paraId="06D7BECC" w14:textId="5C55E116" w:rsidR="00A24F37" w:rsidRPr="0025314B" w:rsidRDefault="00A24F37" w:rsidP="00553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25314B">
              <w:rPr>
                <w:rFonts w:ascii="Calibri" w:hAnsi="Calibri" w:cs="Calibri"/>
                <w:b/>
                <w:bCs/>
                <w:color w:val="000000"/>
              </w:rPr>
              <w:t>22,045</w:t>
            </w:r>
          </w:p>
        </w:tc>
        <w:tc>
          <w:tcPr>
            <w:tcW w:w="2552" w:type="dxa"/>
            <w:shd w:val="clear" w:color="auto" w:fill="62A39F" w:themeFill="accent6"/>
            <w:noWrap/>
          </w:tcPr>
          <w:p w14:paraId="1DBF53E8" w14:textId="77777777" w:rsidR="00A24F37" w:rsidRPr="0025314B" w:rsidRDefault="00A24F37" w:rsidP="00553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69C4187D" w14:textId="35031BDC" w:rsidR="0025314B" w:rsidRPr="00726B8C" w:rsidRDefault="00942712" w:rsidP="0025314B">
      <w:pPr>
        <w:jc w:val="both"/>
        <w:rPr>
          <w:sz w:val="20"/>
          <w:szCs w:val="20"/>
        </w:rPr>
      </w:pPr>
      <w:r w:rsidRPr="00A953B5">
        <w:rPr>
          <w:b/>
        </w:rPr>
        <w:t>*</w:t>
      </w:r>
      <w:r w:rsidR="00AC4686" w:rsidRPr="00A953B5">
        <w:rPr>
          <w:sz w:val="20"/>
          <w:szCs w:val="20"/>
        </w:rPr>
        <w:t xml:space="preserve"> </w:t>
      </w:r>
      <w:r w:rsidR="006406A8">
        <w:rPr>
          <w:sz w:val="20"/>
          <w:szCs w:val="20"/>
        </w:rPr>
        <w:t xml:space="preserve">This </w:t>
      </w:r>
      <w:r w:rsidR="005727F6">
        <w:rPr>
          <w:sz w:val="20"/>
          <w:szCs w:val="20"/>
        </w:rPr>
        <w:t>includes</w:t>
      </w:r>
      <w:r w:rsidR="00AC4686" w:rsidRPr="00A953B5">
        <w:rPr>
          <w:sz w:val="20"/>
          <w:szCs w:val="20"/>
        </w:rPr>
        <w:t xml:space="preserve"> </w:t>
      </w:r>
      <w:r w:rsidR="00E260BC" w:rsidRPr="00A953B5">
        <w:rPr>
          <w:sz w:val="20"/>
          <w:szCs w:val="20"/>
        </w:rPr>
        <w:t xml:space="preserve">Emergency </w:t>
      </w:r>
      <w:r w:rsidR="00A953B5" w:rsidRPr="00A953B5">
        <w:rPr>
          <w:sz w:val="20"/>
          <w:szCs w:val="20"/>
        </w:rPr>
        <w:t>Accommodation (</w:t>
      </w:r>
      <w:r w:rsidR="001D6F3E" w:rsidRPr="00A953B5">
        <w:rPr>
          <w:sz w:val="20"/>
          <w:szCs w:val="20"/>
        </w:rPr>
        <w:t>99)</w:t>
      </w:r>
      <w:r w:rsidR="006406A8">
        <w:rPr>
          <w:sz w:val="20"/>
          <w:szCs w:val="20"/>
        </w:rPr>
        <w:t>;</w:t>
      </w:r>
      <w:r w:rsidR="001D6F3E" w:rsidRPr="00A953B5">
        <w:rPr>
          <w:sz w:val="20"/>
          <w:szCs w:val="20"/>
        </w:rPr>
        <w:t xml:space="preserve"> Building o</w:t>
      </w:r>
      <w:r w:rsidR="006447C9">
        <w:rPr>
          <w:sz w:val="20"/>
          <w:szCs w:val="20"/>
        </w:rPr>
        <w:t>r</w:t>
      </w:r>
      <w:r w:rsidR="001D6F3E" w:rsidRPr="00A953B5">
        <w:rPr>
          <w:sz w:val="20"/>
          <w:szCs w:val="20"/>
        </w:rPr>
        <w:t xml:space="preserve"> Altering a Home</w:t>
      </w:r>
      <w:r w:rsidR="00AC4686" w:rsidRPr="00A953B5">
        <w:rPr>
          <w:sz w:val="20"/>
          <w:szCs w:val="20"/>
        </w:rPr>
        <w:t xml:space="preserve"> (</w:t>
      </w:r>
      <w:r w:rsidR="00A953B5" w:rsidRPr="00A953B5">
        <w:rPr>
          <w:sz w:val="20"/>
          <w:szCs w:val="20"/>
        </w:rPr>
        <w:t>59</w:t>
      </w:r>
      <w:r w:rsidR="00AC4686" w:rsidRPr="00A953B5">
        <w:rPr>
          <w:sz w:val="20"/>
          <w:szCs w:val="20"/>
        </w:rPr>
        <w:t xml:space="preserve">); Management Companies - Apartment </w:t>
      </w:r>
      <w:r w:rsidR="00F70EFC" w:rsidRPr="00A953B5">
        <w:rPr>
          <w:sz w:val="20"/>
          <w:szCs w:val="20"/>
        </w:rPr>
        <w:t>Blocks (</w:t>
      </w:r>
      <w:r w:rsidR="00A953B5" w:rsidRPr="00A953B5">
        <w:rPr>
          <w:sz w:val="20"/>
          <w:szCs w:val="20"/>
        </w:rPr>
        <w:t>41</w:t>
      </w:r>
      <w:r w:rsidR="00AC4686" w:rsidRPr="00A953B5">
        <w:rPr>
          <w:sz w:val="20"/>
          <w:szCs w:val="20"/>
        </w:rPr>
        <w:t>)</w:t>
      </w:r>
      <w:r w:rsidR="006406A8">
        <w:rPr>
          <w:sz w:val="20"/>
          <w:szCs w:val="20"/>
        </w:rPr>
        <w:t>;</w:t>
      </w:r>
      <w:r w:rsidR="00AC4686" w:rsidRPr="00A953B5">
        <w:rPr>
          <w:sz w:val="20"/>
          <w:szCs w:val="20"/>
        </w:rPr>
        <w:t xml:space="preserve"> and Equality/Housing </w:t>
      </w:r>
      <w:r w:rsidR="0025314B" w:rsidRPr="00A953B5">
        <w:rPr>
          <w:sz w:val="20"/>
          <w:szCs w:val="20"/>
        </w:rPr>
        <w:t xml:space="preserve">Discrimination </w:t>
      </w:r>
      <w:r w:rsidR="0025314B">
        <w:rPr>
          <w:sz w:val="20"/>
          <w:szCs w:val="20"/>
        </w:rPr>
        <w:t>(</w:t>
      </w:r>
      <w:r w:rsidR="0025314B" w:rsidRPr="00A953B5">
        <w:rPr>
          <w:sz w:val="20"/>
          <w:szCs w:val="20"/>
        </w:rPr>
        <w:t>27).</w:t>
      </w:r>
    </w:p>
    <w:p w14:paraId="39D61439" w14:textId="22EC5857" w:rsidR="00676E98" w:rsidRDefault="00676E98" w:rsidP="00A953B5">
      <w:pPr>
        <w:jc w:val="both"/>
        <w:rPr>
          <w:sz w:val="20"/>
          <w:szCs w:val="20"/>
        </w:rPr>
        <w:sectPr w:rsidR="00676E98" w:rsidSect="00586C6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159FB9B1" w14:textId="4B280D55" w:rsidR="002846A0" w:rsidRPr="002846A0" w:rsidRDefault="002846A0" w:rsidP="00D065B1">
      <w:pPr>
        <w:pStyle w:val="Heading2"/>
        <w:rPr>
          <w:sz w:val="22"/>
          <w:szCs w:val="22"/>
        </w:rPr>
      </w:pPr>
      <w:r w:rsidRPr="002846A0">
        <w:lastRenderedPageBreak/>
        <w:t>Health Query Trends in Q3 2024</w:t>
      </w:r>
    </w:p>
    <w:p w14:paraId="0E67C01F" w14:textId="3D76E799" w:rsidR="00942712" w:rsidRPr="00726B8C" w:rsidRDefault="00942712" w:rsidP="007203C4">
      <w:pPr>
        <w:jc w:val="both"/>
        <w:rPr>
          <w:sz w:val="22"/>
          <w:szCs w:val="22"/>
        </w:rPr>
      </w:pPr>
      <w:r w:rsidRPr="00726B8C">
        <w:rPr>
          <w:b/>
          <w:sz w:val="22"/>
          <w:szCs w:val="22"/>
        </w:rPr>
        <w:t xml:space="preserve">Table </w:t>
      </w:r>
      <w:r w:rsidR="000F47A6" w:rsidRPr="00726B8C">
        <w:rPr>
          <w:b/>
          <w:sz w:val="22"/>
          <w:szCs w:val="22"/>
        </w:rPr>
        <w:t>1</w:t>
      </w:r>
      <w:r w:rsidR="00EE6517">
        <w:rPr>
          <w:b/>
          <w:sz w:val="22"/>
          <w:szCs w:val="22"/>
        </w:rPr>
        <w:t>2</w:t>
      </w:r>
      <w:r w:rsidRPr="00726B8C">
        <w:rPr>
          <w:sz w:val="22"/>
          <w:szCs w:val="22"/>
        </w:rPr>
        <w:t xml:space="preserve"> sets out the </w:t>
      </w:r>
      <w:r w:rsidRPr="00726B8C">
        <w:rPr>
          <w:b/>
          <w:sz w:val="22"/>
          <w:szCs w:val="22"/>
        </w:rPr>
        <w:t xml:space="preserve">Health </w:t>
      </w:r>
      <w:r w:rsidRPr="00726B8C">
        <w:rPr>
          <w:sz w:val="22"/>
          <w:szCs w:val="22"/>
        </w:rPr>
        <w:t>query dataset for Quarter 3, 202</w:t>
      </w:r>
      <w:r w:rsidR="00270616" w:rsidRPr="00726B8C">
        <w:rPr>
          <w:sz w:val="22"/>
          <w:szCs w:val="22"/>
        </w:rPr>
        <w:t>4</w:t>
      </w:r>
      <w:r w:rsidRPr="00726B8C">
        <w:rPr>
          <w:sz w:val="22"/>
          <w:szCs w:val="22"/>
        </w:rPr>
        <w:t>.</w:t>
      </w:r>
      <w:r w:rsidR="009C71D3" w:rsidRPr="00726B8C">
        <w:rPr>
          <w:sz w:val="22"/>
          <w:szCs w:val="22"/>
        </w:rPr>
        <w:t xml:space="preserve"> Health queries </w:t>
      </w:r>
      <w:r w:rsidR="00270616" w:rsidRPr="00726B8C">
        <w:rPr>
          <w:sz w:val="22"/>
          <w:szCs w:val="22"/>
        </w:rPr>
        <w:t>in</w:t>
      </w:r>
      <w:r w:rsidR="009C71D3" w:rsidRPr="00726B8C">
        <w:rPr>
          <w:sz w:val="22"/>
          <w:szCs w:val="22"/>
        </w:rPr>
        <w:t xml:space="preserve">creased by </w:t>
      </w:r>
      <w:r w:rsidR="00270616" w:rsidRPr="00726B8C">
        <w:rPr>
          <w:sz w:val="22"/>
          <w:szCs w:val="22"/>
        </w:rPr>
        <w:t>6.8</w:t>
      </w:r>
      <w:r w:rsidR="009C71D3" w:rsidRPr="00726B8C">
        <w:rPr>
          <w:sz w:val="22"/>
          <w:szCs w:val="22"/>
        </w:rPr>
        <w:t>% between Q3 202</w:t>
      </w:r>
      <w:r w:rsidR="00270616" w:rsidRPr="00726B8C">
        <w:rPr>
          <w:sz w:val="22"/>
          <w:szCs w:val="22"/>
        </w:rPr>
        <w:t>3</w:t>
      </w:r>
      <w:r w:rsidR="009C71D3" w:rsidRPr="00726B8C">
        <w:rPr>
          <w:sz w:val="22"/>
          <w:szCs w:val="22"/>
        </w:rPr>
        <w:t xml:space="preserve"> and </w:t>
      </w:r>
      <w:r w:rsidR="006406A8">
        <w:rPr>
          <w:sz w:val="22"/>
          <w:szCs w:val="22"/>
        </w:rPr>
        <w:t xml:space="preserve">Q3 </w:t>
      </w:r>
      <w:r w:rsidR="009C71D3" w:rsidRPr="00726B8C">
        <w:rPr>
          <w:sz w:val="22"/>
          <w:szCs w:val="22"/>
        </w:rPr>
        <w:t>202</w:t>
      </w:r>
      <w:r w:rsidR="00270616" w:rsidRPr="00726B8C">
        <w:rPr>
          <w:sz w:val="22"/>
          <w:szCs w:val="22"/>
        </w:rPr>
        <w:t>4 (15,807)</w:t>
      </w:r>
      <w:r w:rsidR="009C71D3" w:rsidRPr="00726B8C">
        <w:rPr>
          <w:sz w:val="22"/>
          <w:szCs w:val="22"/>
        </w:rPr>
        <w:t>.</w:t>
      </w:r>
    </w:p>
    <w:p w14:paraId="7E9A69F3" w14:textId="77777777" w:rsidR="0002338D" w:rsidRDefault="00F7547D" w:rsidP="00417A27">
      <w:pPr>
        <w:pStyle w:val="ListParagraph"/>
      </w:pPr>
      <w:r w:rsidRPr="000B50C5">
        <w:t xml:space="preserve">Medical Card queries continue to be the most </w:t>
      </w:r>
      <w:r w:rsidR="00EA08E0" w:rsidRPr="000B50C5">
        <w:t>queried sub-category under health and account for over 60% of queries (</w:t>
      </w:r>
      <w:r w:rsidR="00065715" w:rsidRPr="000B50C5">
        <w:t>9,724)</w:t>
      </w:r>
      <w:r w:rsidR="00EA08E0" w:rsidRPr="000B50C5">
        <w:t>.</w:t>
      </w:r>
    </w:p>
    <w:p w14:paraId="6C5DCF5C" w14:textId="77777777" w:rsidR="002E1F5F" w:rsidRDefault="0002338D" w:rsidP="00417A27">
      <w:pPr>
        <w:pStyle w:val="ListParagraph"/>
      </w:pPr>
      <w:r>
        <w:t>Fair Deal &amp; Home Care Package queries increased by 7.6% (939).</w:t>
      </w:r>
    </w:p>
    <w:p w14:paraId="1C4E1AD4" w14:textId="77777777" w:rsidR="002E1F5F" w:rsidRDefault="002E1F5F" w:rsidP="00417A27">
      <w:pPr>
        <w:pStyle w:val="ListParagraph"/>
      </w:pPr>
      <w:r w:rsidRPr="00726B8C">
        <w:t>GP Visit Card, a new sub-category that was introduced, accounted for 5.1% of queries (806).</w:t>
      </w:r>
    </w:p>
    <w:p w14:paraId="547C40A1" w14:textId="77777777" w:rsidR="00130FF9" w:rsidRDefault="002E1F5F" w:rsidP="00417A27">
      <w:pPr>
        <w:pStyle w:val="ListParagraph"/>
      </w:pPr>
      <w:r w:rsidRPr="00726B8C">
        <w:t>Drugs/Medicines queries increased by 18.5% (565).</w:t>
      </w:r>
    </w:p>
    <w:p w14:paraId="3014F665" w14:textId="181C0ED7" w:rsidR="00130FF9" w:rsidRPr="009A1E45" w:rsidRDefault="00130FF9" w:rsidP="00417A27">
      <w:pPr>
        <w:pStyle w:val="ListParagraph"/>
      </w:pPr>
      <w:r>
        <w:t>GP Services decreased by 50.9% (522).</w:t>
      </w:r>
    </w:p>
    <w:p w14:paraId="7D34DFE2" w14:textId="3D48D091" w:rsidR="00D83F0B" w:rsidRPr="009A1E45" w:rsidRDefault="00D83F0B" w:rsidP="00D065B1">
      <w:pPr>
        <w:pStyle w:val="Heading2"/>
      </w:pPr>
    </w:p>
    <w:p w14:paraId="527AF5CC" w14:textId="77777777" w:rsidR="003B1A3C" w:rsidRPr="00D065B1" w:rsidRDefault="00835A7F" w:rsidP="00D065B1">
      <w:pPr>
        <w:pStyle w:val="Heading2"/>
        <w:rPr>
          <w:bCs/>
          <w:color w:val="1481AB" w:themeColor="accent1" w:themeShade="BF"/>
        </w:rPr>
      </w:pPr>
      <w:r w:rsidRPr="00D065B1">
        <w:rPr>
          <w:bCs/>
          <w:color w:val="1481AB" w:themeColor="accent1" w:themeShade="BF"/>
        </w:rPr>
        <w:t>Caller profile statistics relating to Health</w:t>
      </w:r>
    </w:p>
    <w:p w14:paraId="3353186C" w14:textId="22E551AC" w:rsidR="00835A7F" w:rsidRPr="00E71DC8" w:rsidRDefault="00EA5EF3" w:rsidP="00942712">
      <w:pPr>
        <w:rPr>
          <w:bCs/>
          <w:color w:val="1481AB" w:themeColor="accent1" w:themeShade="BF"/>
          <w:sz w:val="22"/>
          <w:szCs w:val="22"/>
          <w:u w:val="single"/>
        </w:rPr>
      </w:pPr>
      <w:r w:rsidRPr="00E71DC8">
        <w:rPr>
          <w:b/>
          <w:color w:val="1481AB" w:themeColor="accent1" w:themeShade="BF"/>
          <w:sz w:val="22"/>
          <w:szCs w:val="22"/>
        </w:rPr>
        <w:t xml:space="preserve"> </w:t>
      </w:r>
      <w:r w:rsidRPr="00E71DC8">
        <w:rPr>
          <w:bCs/>
          <w:color w:val="auto"/>
          <w:sz w:val="22"/>
          <w:szCs w:val="22"/>
        </w:rPr>
        <w:t>(</w:t>
      </w:r>
      <w:r w:rsidR="008C5C20" w:rsidRPr="00E71DC8">
        <w:rPr>
          <w:bCs/>
          <w:color w:val="auto"/>
          <w:sz w:val="22"/>
          <w:szCs w:val="22"/>
        </w:rPr>
        <w:t>age was recorded for 73.4%</w:t>
      </w:r>
      <w:r w:rsidR="00A656C8" w:rsidRPr="00E71DC8">
        <w:rPr>
          <w:bCs/>
          <w:color w:val="auto"/>
          <w:sz w:val="22"/>
          <w:szCs w:val="22"/>
        </w:rPr>
        <w:t xml:space="preserve"> of health callers).</w:t>
      </w:r>
    </w:p>
    <w:p w14:paraId="7ACE92AE" w14:textId="5D754088" w:rsidR="00417A27" w:rsidRDefault="00B41908" w:rsidP="00417A27">
      <w:pPr>
        <w:pStyle w:val="ListParagraph"/>
      </w:pPr>
      <w:r w:rsidRPr="00726B8C">
        <w:t xml:space="preserve">36.5% of Health </w:t>
      </w:r>
      <w:r w:rsidR="00423F96" w:rsidRPr="00726B8C">
        <w:t>call</w:t>
      </w:r>
      <w:r w:rsidRPr="00726B8C">
        <w:t>e</w:t>
      </w:r>
      <w:r w:rsidR="00423F96" w:rsidRPr="00726B8C">
        <w:t>r</w:t>
      </w:r>
      <w:r w:rsidRPr="00726B8C">
        <w:t>s came from</w:t>
      </w:r>
      <w:r w:rsidR="00BE76F8" w:rsidRPr="00726B8C">
        <w:t xml:space="preserve"> </w:t>
      </w:r>
      <w:r w:rsidR="009C7B88" w:rsidRPr="00726B8C">
        <w:t>the 46</w:t>
      </w:r>
      <w:r w:rsidR="00BE76F8" w:rsidRPr="00726B8C">
        <w:t>-65 age group.</w:t>
      </w:r>
      <w:r w:rsidR="00423F96" w:rsidRPr="00726B8C">
        <w:t xml:space="preserve"> 31.8% came from </w:t>
      </w:r>
      <w:r w:rsidR="009E1A25" w:rsidRPr="00726B8C">
        <w:t xml:space="preserve">26-45 and 28.4% </w:t>
      </w:r>
      <w:r w:rsidR="00860A5D">
        <w:t>were aged 66 and over.</w:t>
      </w:r>
    </w:p>
    <w:p w14:paraId="04F23D00" w14:textId="23E263E5" w:rsidR="00417A27" w:rsidRDefault="00417A27" w:rsidP="00417A27">
      <w:pPr>
        <w:pStyle w:val="ListParagraph"/>
      </w:pPr>
      <w:r w:rsidRPr="00726B8C">
        <w:t xml:space="preserve">34.7% of </w:t>
      </w:r>
      <w:r w:rsidR="00E71DC8" w:rsidRPr="00726B8C">
        <w:t>callers</w:t>
      </w:r>
      <w:r w:rsidRPr="00726B8C">
        <w:t xml:space="preserve"> </w:t>
      </w:r>
      <w:r w:rsidR="008D00C9">
        <w:t xml:space="preserve">who </w:t>
      </w:r>
      <w:r w:rsidRPr="00726B8C">
        <w:t>mentioned Medical cards are 46-65, 33.9% from 26-45, 27.6% came from 66 and Over.</w:t>
      </w:r>
    </w:p>
    <w:p w14:paraId="75FEC1E1" w14:textId="77777777" w:rsidR="00417A27" w:rsidRDefault="00417A27" w:rsidP="00417A27">
      <w:pPr>
        <w:pStyle w:val="ListParagraph"/>
      </w:pPr>
      <w:r>
        <w:t>47.8% of Fair Deal and Home Care Packages calls came from the 46-65, followed by the 66 and Over (39.8%).</w:t>
      </w:r>
    </w:p>
    <w:p w14:paraId="64DEF92F" w14:textId="51CC6191" w:rsidR="00417A27" w:rsidRDefault="00417A27" w:rsidP="00417A27">
      <w:pPr>
        <w:pStyle w:val="ListParagraph"/>
      </w:pPr>
      <w:r w:rsidRPr="00417A27">
        <w:t xml:space="preserve">39.8% of calls </w:t>
      </w:r>
      <w:r w:rsidR="00860A5D">
        <w:t>stood at</w:t>
      </w:r>
      <w:r w:rsidRPr="00417A27">
        <w:t xml:space="preserve"> 28.6%.</w:t>
      </w:r>
    </w:p>
    <w:p w14:paraId="22FC1875" w14:textId="30ECC445" w:rsidR="00125B60" w:rsidRPr="00417A27" w:rsidRDefault="00125B60" w:rsidP="00417A27">
      <w:pPr>
        <w:pStyle w:val="ListParagraph"/>
        <w:rPr>
          <w:rFonts w:ascii="Tw Cen MT Condensed" w:eastAsiaTheme="majorEastAsia" w:hAnsi="Tw Cen MT Condensed" w:cstheme="majorBidi"/>
          <w:b/>
          <w:color w:val="1481AB" w:themeColor="accent1" w:themeShade="BF"/>
        </w:rPr>
      </w:pPr>
      <w:r w:rsidRPr="00417A27">
        <w:rPr>
          <w:rFonts w:ascii="Tw Cen MT Condensed" w:hAnsi="Tw Cen MT Condensed"/>
          <w:b/>
        </w:rPr>
        <w:br w:type="page"/>
      </w:r>
    </w:p>
    <w:p w14:paraId="5442B6A8" w14:textId="77777777" w:rsidR="00125B60" w:rsidRDefault="00125B60" w:rsidP="00942712">
      <w:pPr>
        <w:pStyle w:val="Heading1"/>
        <w:rPr>
          <w:rFonts w:ascii="Tw Cen MT Condensed" w:hAnsi="Tw Cen MT Condensed"/>
          <w:b/>
          <w:sz w:val="24"/>
          <w:szCs w:val="24"/>
        </w:rPr>
        <w:sectPr w:rsidR="00125B60" w:rsidSect="00586C6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2BA6F5B1" w14:textId="11761C86" w:rsidR="00942712" w:rsidRPr="00D065B1" w:rsidRDefault="00942712" w:rsidP="00D065B1">
      <w:pPr>
        <w:pStyle w:val="Heading3"/>
      </w:pPr>
      <w:r w:rsidRPr="00D065B1">
        <w:lastRenderedPageBreak/>
        <w:t xml:space="preserve">Table </w:t>
      </w:r>
      <w:r w:rsidR="000F47A6" w:rsidRPr="00D065B1">
        <w:t>1</w:t>
      </w:r>
      <w:r w:rsidR="00EE6517" w:rsidRPr="00D065B1">
        <w:t>2</w:t>
      </w:r>
      <w:r w:rsidRPr="00D065B1">
        <w:t xml:space="preserve"> - Health Query Breakdown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2835"/>
        <w:gridCol w:w="2268"/>
      </w:tblGrid>
      <w:tr w:rsidR="0066350F" w:rsidRPr="00726B8C" w14:paraId="24F0B570" w14:textId="77777777" w:rsidTr="00D065B1">
        <w:trPr>
          <w:trHeight w:val="283"/>
        </w:trPr>
        <w:tc>
          <w:tcPr>
            <w:tcW w:w="45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hideMark/>
          </w:tcPr>
          <w:p w14:paraId="0D44D431" w14:textId="49D5FD8E" w:rsidR="00EE44FE" w:rsidRPr="00D065B1" w:rsidRDefault="00A04E40" w:rsidP="00D06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Health </w:t>
            </w:r>
            <w:r w:rsidR="00EE44FE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Sub-category Breakdown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hideMark/>
          </w:tcPr>
          <w:p w14:paraId="248D1593" w14:textId="5DE4B53B" w:rsidR="00EE44FE" w:rsidRPr="00D065B1" w:rsidRDefault="00EE44FE" w:rsidP="00D06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# of Queries</w:t>
            </w:r>
          </w:p>
        </w:tc>
        <w:tc>
          <w:tcPr>
            <w:tcW w:w="226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hideMark/>
          </w:tcPr>
          <w:p w14:paraId="3E97F571" w14:textId="66AFD2E1" w:rsidR="00EE44FE" w:rsidRPr="00D065B1" w:rsidRDefault="00EE44FE" w:rsidP="00D06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% of Health</w:t>
            </w:r>
            <w:r w:rsidR="00BD5360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categor</w:t>
            </w:r>
            <w:r w:rsidR="006C721F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ies</w:t>
            </w:r>
          </w:p>
          <w:p w14:paraId="53815D9A" w14:textId="4A9F574B" w:rsidR="00BD5360" w:rsidRPr="00D065B1" w:rsidRDefault="00BD5360" w:rsidP="00D06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</w:pPr>
          </w:p>
        </w:tc>
      </w:tr>
      <w:tr w:rsidR="00EE44FE" w:rsidRPr="00726B8C" w14:paraId="19CA03A9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16D5105" w14:textId="6C4EA8F8" w:rsidR="00EE44FE" w:rsidRPr="00D065B1" w:rsidRDefault="003F39C2" w:rsidP="00553C57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Medical Card</w:t>
            </w:r>
            <w:r w:rsidR="003F505F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3F505F" w:rsidRPr="00D065B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 xml:space="preserve">                      </w:t>
            </w:r>
            <w:r w:rsidR="0025314B" w:rsidRPr="00D065B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 xml:space="preserve">            </w:t>
            </w:r>
            <w:r w:rsidR="0066350F" w:rsidRPr="00D065B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 xml:space="preserve"> </w:t>
            </w:r>
            <w:r w:rsidR="00125B60" w:rsidRPr="00D065B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 xml:space="preserve">                                                                                          </w:t>
            </w:r>
            <w:r w:rsidR="0066350F" w:rsidRPr="00D065B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 xml:space="preserve">  </w:t>
            </w:r>
            <w:r w:rsidR="00553C57" w:rsidRPr="00D065B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 xml:space="preserve">                       </w:t>
            </w:r>
            <w:r w:rsidR="00D27675" w:rsidRPr="00D065B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>61.5%</w:t>
            </w:r>
          </w:p>
        </w:tc>
      </w:tr>
      <w:tr w:rsidR="0066350F" w:rsidRPr="00726B8C" w14:paraId="56D28EF7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5FB31E0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Medical</w:t>
            </w:r>
            <w:r w:rsidRPr="00D065B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  <w:t xml:space="preserve"> Card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0B54327" w14:textId="450A0A72" w:rsidR="00EE44FE" w:rsidRPr="00D065B1" w:rsidRDefault="009410A6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9,724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4DE14D9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 </w:t>
            </w:r>
          </w:p>
        </w:tc>
      </w:tr>
      <w:tr w:rsidR="0066350F" w:rsidRPr="00726B8C" w14:paraId="3E010F26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6C3742B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34C78AC" w14:textId="2637E7DE" w:rsidR="00EE44FE" w:rsidRPr="00D065B1" w:rsidRDefault="009410A6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9,724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7BE63A1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59E1AC4F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9AF01B7" w14:textId="0DF8A930" w:rsidR="00EE44FE" w:rsidRPr="00D065B1" w:rsidRDefault="009410A6" w:rsidP="0025314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Fair Deal &amp;</w:t>
            </w:r>
            <w:r w:rsidRPr="00D065B1"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Home Care</w:t>
            </w:r>
            <w:r w:rsidRPr="00D065B1"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  <w:t xml:space="preserve"> P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ackage</w:t>
            </w:r>
            <w:r w:rsidRPr="00D065B1"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  <w:t xml:space="preserve">                  </w:t>
            </w:r>
            <w:r w:rsidR="00D27675" w:rsidRPr="00D065B1"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  <w:t xml:space="preserve">  </w:t>
            </w:r>
            <w:r w:rsidR="0025314B" w:rsidRPr="00D065B1"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  <w:t xml:space="preserve">  </w:t>
            </w:r>
            <w:r w:rsidR="00553C57" w:rsidRPr="00D065B1">
              <w:rPr>
                <w:rFonts w:eastAsia="Times New Roman"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                           </w:t>
            </w:r>
            <w:r w:rsidRPr="00D065B1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en-IE"/>
              </w:rPr>
              <w:t>5.9%</w:t>
            </w:r>
          </w:p>
        </w:tc>
      </w:tr>
      <w:tr w:rsidR="009410A6" w:rsidRPr="00726B8C" w14:paraId="14D1BA8A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3DD507B9" w14:textId="396AA0B8" w:rsidR="009410A6" w:rsidRPr="00D065B1" w:rsidRDefault="009410A6" w:rsidP="009410A6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0960C11" w14:textId="4F352139" w:rsidR="009410A6" w:rsidRPr="00D065B1" w:rsidRDefault="009410A6" w:rsidP="009410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759A313" w14:textId="22B389E8" w:rsidR="009410A6" w:rsidRPr="00D065B1" w:rsidRDefault="009410A6" w:rsidP="009410A6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D065B1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9410A6" w:rsidRPr="00726B8C" w14:paraId="797109C0" w14:textId="77777777" w:rsidTr="00D065B1">
        <w:trPr>
          <w:trHeight w:val="265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7E9CE9E4" w14:textId="5CBE5A94" w:rsidR="009410A6" w:rsidRPr="00D065B1" w:rsidRDefault="009410A6" w:rsidP="009410A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64C5C9F6" w14:textId="5182DC19" w:rsidR="009410A6" w:rsidRPr="00D065B1" w:rsidRDefault="009410A6" w:rsidP="009410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2E1BF35" w14:textId="4C05A677" w:rsidR="009410A6" w:rsidRPr="00D065B1" w:rsidRDefault="00D27675" w:rsidP="00307D67">
            <w:pPr>
              <w:spacing w:after="0" w:line="24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 xml:space="preserve">                    </w:t>
            </w:r>
            <w:r w:rsidR="009410A6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10A6" w:rsidRPr="00726B8C" w14:paraId="1CCB3310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5918D"/>
            <w:noWrap/>
            <w:vAlign w:val="center"/>
          </w:tcPr>
          <w:p w14:paraId="185C0226" w14:textId="4A383E67" w:rsidR="009410A6" w:rsidRPr="00D065B1" w:rsidRDefault="00765F34" w:rsidP="00EE44FE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 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GP Visit Card</w:t>
            </w:r>
            <w:r w:rsidR="004323C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</w:t>
            </w:r>
            <w:r w:rsidR="00445920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4323C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                                       </w:t>
            </w:r>
            <w:r w:rsidR="004323C7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5.1%</w:t>
            </w:r>
          </w:p>
        </w:tc>
      </w:tr>
      <w:tr w:rsidR="009410A6" w:rsidRPr="00726B8C" w14:paraId="73620D32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03458194" w14:textId="69D2BCD8" w:rsidR="009410A6" w:rsidRPr="00D065B1" w:rsidRDefault="003A1AEF" w:rsidP="00EE44F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 xml:space="preserve">GP Visit Card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C88C1EA" w14:textId="64D631AD" w:rsidR="009410A6" w:rsidRPr="00D065B1" w:rsidRDefault="00DF35A2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583FBDC" w14:textId="77777777" w:rsidR="009410A6" w:rsidRPr="00D065B1" w:rsidRDefault="009410A6" w:rsidP="00EE44FE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</w:p>
        </w:tc>
      </w:tr>
      <w:tr w:rsidR="009410A6" w:rsidRPr="00726B8C" w14:paraId="57E08BA3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4FD10A26" w14:textId="46868A9D" w:rsidR="009410A6" w:rsidRPr="00D065B1" w:rsidRDefault="003A1AEF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217F4001" w14:textId="6AC33E68" w:rsidR="009410A6" w:rsidRPr="00D065B1" w:rsidRDefault="000B4057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29C724EE" w14:textId="77777777" w:rsidR="009410A6" w:rsidRPr="00D065B1" w:rsidRDefault="009410A6" w:rsidP="00EE44FE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</w:p>
        </w:tc>
      </w:tr>
      <w:tr w:rsidR="003A1AEF" w:rsidRPr="00726B8C" w14:paraId="6A620CE0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5918D"/>
            <w:noWrap/>
            <w:vAlign w:val="center"/>
          </w:tcPr>
          <w:p w14:paraId="624E2158" w14:textId="3F71AFA9" w:rsidR="003A1AEF" w:rsidRPr="00D065B1" w:rsidRDefault="003A1AEF" w:rsidP="00EE44FE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Other</w:t>
            </w:r>
            <w:r w:rsidR="000B40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</w:t>
            </w:r>
            <w:r w:rsidR="000B4057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 xml:space="preserve">                              </w:t>
            </w:r>
            <w:r w:rsidR="0025314B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 xml:space="preserve">   </w:t>
            </w:r>
            <w:r w:rsidR="00D27675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 xml:space="preserve">              </w:t>
            </w:r>
            <w:r w:rsidR="00445920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 xml:space="preserve">  </w:t>
            </w:r>
            <w:r w:rsidR="00D27675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 xml:space="preserve">    </w:t>
            </w:r>
            <w:r w:rsidR="00553C57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 xml:space="preserve">                                                                                                                </w:t>
            </w:r>
            <w:r w:rsidR="000B4057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4.5%</w:t>
            </w:r>
          </w:p>
        </w:tc>
      </w:tr>
      <w:tr w:rsidR="0066350F" w:rsidRPr="00726B8C" w14:paraId="28E596ED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19C42F1" w14:textId="172735D6" w:rsidR="00AC01EE" w:rsidRPr="00D065B1" w:rsidRDefault="00AC01EE" w:rsidP="00AC01E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2C0F523" w14:textId="68AFEA62" w:rsidR="00AC01EE" w:rsidRPr="00D065B1" w:rsidRDefault="00AC01EE" w:rsidP="00AC01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F891488" w14:textId="10079EBC" w:rsidR="00AC01EE" w:rsidRPr="00D065B1" w:rsidRDefault="00AC01EE" w:rsidP="00AC01EE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D065B1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66350F" w:rsidRPr="00726B8C" w14:paraId="77CD62BB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ADBBCB2" w14:textId="22066B5F" w:rsidR="00AC01EE" w:rsidRPr="00D065B1" w:rsidRDefault="00AC01EE" w:rsidP="00AC01E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AE2ADCA" w14:textId="065C758C" w:rsidR="00AC01EE" w:rsidRPr="00D065B1" w:rsidRDefault="00AC01EE" w:rsidP="00AC01E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531EFE7" w14:textId="4E3A5DD7" w:rsidR="00AC01EE" w:rsidRPr="00D065B1" w:rsidRDefault="00AC01EE" w:rsidP="00AC01E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5EF7D65B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D519CC4" w14:textId="146EA268" w:rsidR="00EE44FE" w:rsidRPr="00D065B1" w:rsidRDefault="00422CFA" w:rsidP="00422CFA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Drugs/Medicine</w:t>
            </w:r>
            <w:r w:rsidR="00EE44FE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 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                                       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3.6%</w:t>
            </w:r>
          </w:p>
        </w:tc>
      </w:tr>
      <w:tr w:rsidR="00255770" w:rsidRPr="00726B8C" w14:paraId="3DC52DB4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4687C585" w14:textId="3E653D40" w:rsidR="00255770" w:rsidRPr="00D065B1" w:rsidRDefault="00255770" w:rsidP="00AC01E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Drugs Payments Scheme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1B15CFA" w14:textId="1FF9A6E5" w:rsidR="00255770" w:rsidRPr="00D065B1" w:rsidRDefault="00255770" w:rsidP="00AC01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C48BE9B" w14:textId="77777777" w:rsidR="00255770" w:rsidRPr="00D065B1" w:rsidRDefault="00255770" w:rsidP="00AC01EE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</w:p>
        </w:tc>
      </w:tr>
      <w:tr w:rsidR="0066350F" w:rsidRPr="00726B8C" w14:paraId="0198D55C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64E74204" w14:textId="75BFFF60" w:rsidR="00AC01EE" w:rsidRPr="00D065B1" w:rsidRDefault="00255770" w:rsidP="00AC01E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6DC6EF2" w14:textId="500AB6C6" w:rsidR="00AC01EE" w:rsidRPr="00D065B1" w:rsidRDefault="00AC01EE" w:rsidP="00AC01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255770" w:rsidRPr="00D065B1">
              <w:rPr>
                <w:rFonts w:eastAsia="Times New Roman"/>
                <w:sz w:val="20"/>
                <w:szCs w:val="20"/>
                <w:lang w:eastAsia="en-IE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198E513" w14:textId="5786A60D" w:rsidR="00AC01EE" w:rsidRPr="00D065B1" w:rsidRDefault="00AC01EE" w:rsidP="00AC01EE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D065B1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66350F" w:rsidRPr="00726B8C" w14:paraId="219DF42F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5F3DDA86" w14:textId="639D33AA" w:rsidR="00AC01EE" w:rsidRPr="00D065B1" w:rsidRDefault="00AC01EE" w:rsidP="00AC01E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62F5380C" w14:textId="448A0413" w:rsidR="00AC01EE" w:rsidRPr="00D065B1" w:rsidRDefault="003D090B" w:rsidP="00AC01E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747402D7" w14:textId="7A6A71C5" w:rsidR="00AC01EE" w:rsidRPr="00D065B1" w:rsidRDefault="00AC01EE" w:rsidP="00AC01E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6F8D772A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3AD6F23" w14:textId="28A19015" w:rsidR="00EE44FE" w:rsidRPr="00D065B1" w:rsidRDefault="003D090B" w:rsidP="005B4E2B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GP Services</w:t>
            </w:r>
            <w:r w:rsidR="005B4E2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</w:t>
            </w:r>
            <w:r w:rsidR="00EE44FE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 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5B4E2B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3.3%</w:t>
            </w:r>
          </w:p>
        </w:tc>
      </w:tr>
      <w:tr w:rsidR="0066350F" w:rsidRPr="00726B8C" w14:paraId="13780FB7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1218437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DD9F27F" w14:textId="742607AA" w:rsidR="00EE44FE" w:rsidRPr="00D065B1" w:rsidRDefault="005B4E2B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38B4AC" w14:textId="77777777" w:rsidR="00EE44FE" w:rsidRPr="00D065B1" w:rsidRDefault="00EE44FE" w:rsidP="00EE44FE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D065B1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66350F" w:rsidRPr="00726B8C" w14:paraId="3A6FFB6B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FFFA22A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CFD186D" w14:textId="6AE685A8" w:rsidR="00EE44FE" w:rsidRPr="00D065B1" w:rsidRDefault="005B4E2B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49EC81D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10CC4C09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50D0D83" w14:textId="33C12F3C" w:rsidR="00EE44FE" w:rsidRPr="00D065B1" w:rsidRDefault="000C6DC1" w:rsidP="000C6DC1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Health Services for Older People                             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1.9</w:t>
            </w:r>
            <w:r w:rsidRPr="00D065B1">
              <w:rPr>
                <w:rFonts w:eastAsia="Times New Roman"/>
                <w:b/>
                <w:bCs/>
                <w:lang w:eastAsia="en-IE"/>
              </w:rPr>
              <w:t>%</w:t>
            </w:r>
          </w:p>
        </w:tc>
      </w:tr>
      <w:tr w:rsidR="0066350F" w:rsidRPr="00726B8C" w14:paraId="43650024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88DA90C" w14:textId="37FE8550" w:rsidR="000C6DC1" w:rsidRPr="00D065B1" w:rsidRDefault="000C6DC1" w:rsidP="000C6DC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9AF88B" w14:textId="66828C52" w:rsidR="000C6DC1" w:rsidRPr="00D065B1" w:rsidRDefault="000C6DC1" w:rsidP="000C6D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30</w:t>
            </w:r>
            <w:r w:rsidR="001862DA" w:rsidRPr="00D065B1">
              <w:rPr>
                <w:rFonts w:eastAsia="Times New Roman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3DB566" w14:textId="38F64F5A" w:rsidR="000C6DC1" w:rsidRPr="00D065B1" w:rsidRDefault="000C6DC1" w:rsidP="000C6D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lang w:eastAsia="en-IE"/>
              </w:rPr>
              <w:t> </w:t>
            </w:r>
          </w:p>
        </w:tc>
      </w:tr>
      <w:tr w:rsidR="0066350F" w:rsidRPr="00726B8C" w14:paraId="6760A9C4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4C3491C" w14:textId="5EEE6149" w:rsidR="000C6DC1" w:rsidRPr="00D065B1" w:rsidRDefault="000C6DC1" w:rsidP="000C6D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2D87D75" w14:textId="037C50D3" w:rsidR="000C6DC1" w:rsidRPr="00D065B1" w:rsidRDefault="000C6DC1" w:rsidP="000C6D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30</w:t>
            </w:r>
            <w:r w:rsidR="001862DA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51B384" w14:textId="68E264A2" w:rsidR="000C6DC1" w:rsidRPr="00D065B1" w:rsidRDefault="000C6DC1" w:rsidP="000C6DC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415E3283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36B2B06" w14:textId="59BDD8EE" w:rsidR="00EE44FE" w:rsidRPr="00D065B1" w:rsidRDefault="001862DA" w:rsidP="000E7F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Dental, Aural and Optical Health</w:t>
            </w:r>
            <w:r w:rsidR="00EE44FE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 </w:t>
            </w:r>
            <w:r w:rsidR="000E7F61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</w:t>
            </w:r>
            <w:r w:rsidR="000E7F61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1.8%</w:t>
            </w:r>
          </w:p>
        </w:tc>
      </w:tr>
      <w:tr w:rsidR="0066350F" w:rsidRPr="00726B8C" w14:paraId="70872BBE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5C4A14F" w14:textId="36F7273D" w:rsidR="00EE44FE" w:rsidRPr="00D065B1" w:rsidRDefault="000E7F61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36D25BE" w14:textId="7FFD6457" w:rsidR="00EE44FE" w:rsidRPr="00D065B1" w:rsidRDefault="000E7F61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4DE641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66350F" w:rsidRPr="00726B8C" w14:paraId="308F0D2E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CA619F4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B3E57EB" w14:textId="54468325" w:rsidR="00EE44FE" w:rsidRPr="00D065B1" w:rsidRDefault="000E7F61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1BFA7A5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4CC8C34A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F965F1" w14:textId="2FC57F31" w:rsidR="00EE44FE" w:rsidRPr="00D065B1" w:rsidRDefault="000E7F61" w:rsidP="000E7F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Hospital Services</w:t>
            </w:r>
            <w:r w:rsidR="00196576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                </w:t>
            </w:r>
            <w:r w:rsidR="00196576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</w:t>
            </w:r>
            <w:r w:rsidR="00196576"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1.7%</w:t>
            </w:r>
          </w:p>
        </w:tc>
      </w:tr>
      <w:tr w:rsidR="0066350F" w:rsidRPr="00726B8C" w14:paraId="7C8CAA49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CF8C7B9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F12D5E0" w14:textId="5643F9EE" w:rsidR="00EE44FE" w:rsidRPr="00D065B1" w:rsidRDefault="00196576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A3F222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D065B1">
              <w:rPr>
                <w:rFonts w:eastAsia="Times New Roman"/>
                <w:lang w:eastAsia="en-IE"/>
              </w:rPr>
              <w:t> </w:t>
            </w:r>
          </w:p>
        </w:tc>
      </w:tr>
      <w:tr w:rsidR="0066350F" w:rsidRPr="00726B8C" w14:paraId="741B7E19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B6DAB9B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5D2129" w14:textId="24E42756" w:rsidR="00EE44FE" w:rsidRPr="00D065B1" w:rsidRDefault="00196576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4CE2985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62824617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DC17A6B" w14:textId="5C38FF9A" w:rsidR="00EE44FE" w:rsidRPr="00D065B1" w:rsidRDefault="00B209E4" w:rsidP="00B209E4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EU Healthcare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              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1.7%</w:t>
            </w:r>
          </w:p>
        </w:tc>
      </w:tr>
      <w:tr w:rsidR="0066350F" w:rsidRPr="00726B8C" w14:paraId="7359BEE3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3AC7DDC9" w14:textId="321AD00E" w:rsidR="00EE44FE" w:rsidRPr="00D065B1" w:rsidRDefault="00F125BE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0944469" w14:textId="7729ADFC" w:rsidR="00EE44FE" w:rsidRPr="00D065B1" w:rsidRDefault="00F125BE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3112232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D065B1">
              <w:rPr>
                <w:rFonts w:eastAsia="Times New Roman"/>
                <w:lang w:eastAsia="en-IE"/>
              </w:rPr>
              <w:t> </w:t>
            </w:r>
          </w:p>
        </w:tc>
      </w:tr>
      <w:tr w:rsidR="0066350F" w:rsidRPr="00726B8C" w14:paraId="21707614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4FD0BDD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ABD11CD" w14:textId="007C358A" w:rsidR="00EE44FE" w:rsidRPr="00D065B1" w:rsidRDefault="00F125B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260AA43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17B36F30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26E9768" w14:textId="79258FF1" w:rsidR="00EE44FE" w:rsidRPr="00D065B1" w:rsidRDefault="00F125BE" w:rsidP="00F125BE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Care in your Community     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                                     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1.5%</w:t>
            </w:r>
          </w:p>
        </w:tc>
      </w:tr>
      <w:tr w:rsidR="0066350F" w:rsidRPr="00726B8C" w14:paraId="4E010FC7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9BD4865" w14:textId="67A79C6A" w:rsidR="00EE44FE" w:rsidRPr="00D065B1" w:rsidRDefault="00F125BE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D8F413A" w14:textId="4AED047E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F125BE" w:rsidRPr="00D065B1">
              <w:rPr>
                <w:rFonts w:eastAsia="Times New Roman"/>
                <w:sz w:val="20"/>
                <w:szCs w:val="20"/>
                <w:lang w:eastAsia="en-IE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BC6358D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66350F" w:rsidRPr="00726B8C" w14:paraId="0B2F94B0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9C72FEB" w14:textId="7426A8E9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  <w:r w:rsidR="0059604A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986100F" w14:textId="779C05CA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</w:t>
            </w:r>
            <w:r w:rsidR="00F125BE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722C013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1A274A87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67DA1C" w14:textId="014F3E70" w:rsidR="00EE44FE" w:rsidRPr="00D065B1" w:rsidRDefault="009A7545" w:rsidP="009A7545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Mental Health     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                                      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1.2%</w:t>
            </w:r>
          </w:p>
        </w:tc>
      </w:tr>
      <w:tr w:rsidR="0066350F" w:rsidRPr="00726B8C" w14:paraId="211DA2C6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062D529" w14:textId="20A12BF3" w:rsidR="00EE44FE" w:rsidRPr="00D065B1" w:rsidRDefault="0059604A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A9887F9" w14:textId="2B2763E1" w:rsidR="00EE44FE" w:rsidRPr="00D065B1" w:rsidRDefault="009A7545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19</w:t>
            </w:r>
            <w:r w:rsidR="00EE44FE" w:rsidRPr="00D065B1">
              <w:rPr>
                <w:rFonts w:eastAsia="Times New Roman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A51B85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D065B1">
              <w:rPr>
                <w:rFonts w:eastAsia="Times New Roman"/>
                <w:lang w:eastAsia="en-IE"/>
              </w:rPr>
              <w:t> </w:t>
            </w:r>
          </w:p>
        </w:tc>
      </w:tr>
      <w:tr w:rsidR="0066350F" w:rsidRPr="00726B8C" w14:paraId="4DB0348D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8FA3729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222E056" w14:textId="167096A4" w:rsidR="00EE44FE" w:rsidRPr="00D065B1" w:rsidRDefault="009A7545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19</w:t>
            </w:r>
            <w:r w:rsidR="00EE44FE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04FED0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63521B63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BDCDE89" w14:textId="5ED16B3A" w:rsidR="00EE44FE" w:rsidRPr="00D065B1" w:rsidRDefault="00B539BE" w:rsidP="00B539BE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Health Services for People with Disabilities     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             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1.1%</w:t>
            </w:r>
          </w:p>
        </w:tc>
      </w:tr>
      <w:tr w:rsidR="0066350F" w:rsidRPr="00726B8C" w14:paraId="7206B2AC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FF19B46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2DEC55D" w14:textId="168842A5" w:rsidR="00EE44FE" w:rsidRPr="00D065B1" w:rsidRDefault="00514530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17</w:t>
            </w:r>
            <w:r w:rsidR="00EE44FE" w:rsidRPr="00D065B1">
              <w:rPr>
                <w:rFonts w:eastAsia="Times New Roman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7466111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D065B1">
              <w:rPr>
                <w:rFonts w:eastAsia="Times New Roman"/>
                <w:lang w:eastAsia="en-IE"/>
              </w:rPr>
              <w:t> </w:t>
            </w:r>
          </w:p>
        </w:tc>
      </w:tr>
      <w:tr w:rsidR="0066350F" w:rsidRPr="00726B8C" w14:paraId="7D6C3F1F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601671A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EDCF23C" w14:textId="392F97E1" w:rsidR="00EE44FE" w:rsidRPr="00D065B1" w:rsidRDefault="00514530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17</w:t>
            </w:r>
            <w:r w:rsidR="00EE44FE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D45E4EC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73219F03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CBE7F2C" w14:textId="0749B49B" w:rsidR="00EE44FE" w:rsidRPr="00D065B1" w:rsidRDefault="00B539BE" w:rsidP="00B539BE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Legal Matters and Health               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                      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0.8%</w:t>
            </w:r>
          </w:p>
        </w:tc>
      </w:tr>
      <w:tr w:rsidR="0066350F" w:rsidRPr="00726B8C" w14:paraId="4F81D1CB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6BDE22BC" w14:textId="5D4144E3" w:rsidR="00EE44FE" w:rsidRPr="00D065B1" w:rsidRDefault="001F1B35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3E76ED2" w14:textId="23BB0BD5" w:rsidR="00EE44FE" w:rsidRPr="00D065B1" w:rsidRDefault="001F1B35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93571E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D065B1">
              <w:rPr>
                <w:rFonts w:eastAsia="Times New Roman"/>
                <w:lang w:eastAsia="en-IE"/>
              </w:rPr>
              <w:t> </w:t>
            </w:r>
          </w:p>
        </w:tc>
      </w:tr>
      <w:tr w:rsidR="0066350F" w:rsidRPr="00726B8C" w14:paraId="26003CD8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25A45EB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C3914CD" w14:textId="0E09B4C6" w:rsidR="00EE44FE" w:rsidRPr="00D065B1" w:rsidRDefault="001F1B35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DFBA70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77065FBB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22B025B" w14:textId="0644A842" w:rsidR="00EE44FE" w:rsidRPr="00D065B1" w:rsidRDefault="001F1B35" w:rsidP="001F1B35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lastRenderedPageBreak/>
              <w:t xml:space="preserve">Children’s Health                         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</w:t>
            </w:r>
            <w:r w:rsidR="00D27675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0.7%</w:t>
            </w:r>
          </w:p>
        </w:tc>
      </w:tr>
      <w:tr w:rsidR="0066350F" w:rsidRPr="00726B8C" w14:paraId="36EE9477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A9380BE" w14:textId="6E715872" w:rsidR="00EE44FE" w:rsidRPr="00D065B1" w:rsidRDefault="001F1B35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Children’s Health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7BEE3F3" w14:textId="7945D6CB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1F1B35" w:rsidRPr="00D065B1">
              <w:rPr>
                <w:rFonts w:eastAsia="Times New Roman"/>
                <w:sz w:val="20"/>
                <w:szCs w:val="20"/>
                <w:lang w:eastAsia="en-IE"/>
              </w:rPr>
              <w:t>0</w:t>
            </w: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13B9C79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66350F" w:rsidRPr="00726B8C" w14:paraId="501832EA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9C27025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3553041" w14:textId="5DA635D9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</w:t>
            </w:r>
            <w:r w:rsidR="001F1B35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0</w:t>
            </w: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290E58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26D5D386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B6618E5" w14:textId="7DDC48AF" w:rsidR="00EE44FE" w:rsidRPr="00D065B1" w:rsidRDefault="001F1B35" w:rsidP="001F1B35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Health Insurance                             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2C2688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0.7%</w:t>
            </w:r>
          </w:p>
        </w:tc>
      </w:tr>
      <w:tr w:rsidR="0066350F" w:rsidRPr="00726B8C" w14:paraId="2C427A97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4207658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C6916CA" w14:textId="4D52FB88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</w:t>
            </w:r>
            <w:r w:rsidR="001F1B35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69C10F0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66350F" w:rsidRPr="00726B8C" w14:paraId="1594021F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0D65BD90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325F476" w14:textId="134EF83C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</w:t>
            </w:r>
            <w:r w:rsidR="001F1B35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2020B8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393862B2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A22197B" w14:textId="61541FAA" w:rsidR="00EE44FE" w:rsidRPr="00D065B1" w:rsidRDefault="00194D45" w:rsidP="00194D45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Entitlement to Health Services            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                                     </w:t>
            </w:r>
            <w:r w:rsidR="002C2688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0.7%</w:t>
            </w:r>
          </w:p>
        </w:tc>
      </w:tr>
      <w:tr w:rsidR="0066350F" w:rsidRPr="00726B8C" w14:paraId="52139FA2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32F066E" w14:textId="5FCA0AA0" w:rsidR="00EE44FE" w:rsidRPr="00D065B1" w:rsidRDefault="00194D45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Entitlement to</w:t>
            </w:r>
            <w:r w:rsidR="00EE44FE"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 xml:space="preserve"> Health</w:t>
            </w:r>
            <w:r w:rsidR="00E00AA7"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 xml:space="preserve"> Services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E167389" w14:textId="339A00B5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</w:t>
            </w:r>
            <w:r w:rsidR="00E00AA7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E5B5D35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66350F" w:rsidRPr="00726B8C" w14:paraId="4EA76D1E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5DFDA79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7CD3EE2" w14:textId="5150309A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</w:t>
            </w:r>
            <w:r w:rsidR="00E00AA7"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F21F4B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EE44FE" w:rsidRPr="00726B8C" w14:paraId="33039660" w14:textId="77777777" w:rsidTr="0025314B">
        <w:trPr>
          <w:trHeight w:val="283"/>
        </w:trPr>
        <w:tc>
          <w:tcPr>
            <w:tcW w:w="963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811EED2" w14:textId="1461347E" w:rsidR="00EE44FE" w:rsidRPr="00D065B1" w:rsidRDefault="00D27675" w:rsidP="00D27675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All other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subcategories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                        </w:t>
            </w:r>
            <w:r w:rsidR="0025314B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</w:t>
            </w:r>
            <w:r w:rsidR="00553C57"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                      </w:t>
            </w:r>
            <w:r w:rsidRPr="00D065B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 xml:space="preserve">  </w:t>
            </w:r>
            <w:r w:rsidRPr="00D065B1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2.3</w:t>
            </w:r>
            <w:r w:rsidRPr="00D065B1">
              <w:rPr>
                <w:rFonts w:eastAsia="Times New Roman"/>
                <w:b/>
                <w:bCs/>
                <w:lang w:eastAsia="en-IE"/>
              </w:rPr>
              <w:t>%</w:t>
            </w:r>
          </w:p>
        </w:tc>
      </w:tr>
      <w:tr w:rsidR="0066350F" w:rsidRPr="00726B8C" w14:paraId="47615BA0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BACC189" w14:textId="13CABBFD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All other sub-categories</w:t>
            </w:r>
            <w:r w:rsidR="00A15BD4" w:rsidRPr="00D065B1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D896463" w14:textId="6DDA06FC" w:rsidR="00EE44FE" w:rsidRPr="00D065B1" w:rsidRDefault="000B7ED0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ADCE59C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sz w:val="20"/>
                <w:szCs w:val="20"/>
                <w:lang w:eastAsia="en-IE"/>
              </w:rPr>
              <w:t>100%</w:t>
            </w:r>
          </w:p>
        </w:tc>
      </w:tr>
      <w:tr w:rsidR="0066350F" w:rsidRPr="00726B8C" w14:paraId="15CF4F4B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7D04EDAD" w14:textId="77777777" w:rsidR="00EE44FE" w:rsidRPr="00D065B1" w:rsidRDefault="00EE44FE" w:rsidP="00EE44F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11EFCE9" w14:textId="3CED3BAE" w:rsidR="00EE44FE" w:rsidRPr="00D065B1" w:rsidRDefault="000B7ED0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D9423F" w14:textId="77777777" w:rsidR="00EE44FE" w:rsidRPr="00D065B1" w:rsidRDefault="00EE44FE" w:rsidP="00EE44F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065B1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66350F" w:rsidRPr="00726B8C" w14:paraId="5E08DF94" w14:textId="77777777" w:rsidTr="0025314B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D21B302" w14:textId="77777777" w:rsidR="00EE44FE" w:rsidRPr="00D065B1" w:rsidRDefault="00EE44FE" w:rsidP="00EE44FE">
            <w:pPr>
              <w:spacing w:after="0" w:line="240" w:lineRule="auto"/>
              <w:rPr>
                <w:sz w:val="22"/>
                <w:szCs w:val="22"/>
              </w:rPr>
            </w:pPr>
            <w:r w:rsidRPr="00D065B1">
              <w:rPr>
                <w:b/>
                <w:bCs/>
                <w:sz w:val="22"/>
                <w:szCs w:val="22"/>
              </w:rPr>
              <w:t>Total Health Queries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0DD2780" w14:textId="31B17191" w:rsidR="00EE44FE" w:rsidRPr="00D065B1" w:rsidRDefault="00270616" w:rsidP="00EE44FE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D065B1">
              <w:rPr>
                <w:b/>
                <w:bCs/>
                <w:sz w:val="22"/>
                <w:szCs w:val="22"/>
              </w:rPr>
              <w:t>15</w:t>
            </w:r>
            <w:r w:rsidR="00EE44FE" w:rsidRPr="00D065B1">
              <w:rPr>
                <w:b/>
                <w:bCs/>
                <w:sz w:val="22"/>
                <w:szCs w:val="22"/>
              </w:rPr>
              <w:t>,</w:t>
            </w:r>
            <w:r w:rsidRPr="00D065B1">
              <w:rPr>
                <w:b/>
                <w:bCs/>
                <w:sz w:val="22"/>
                <w:szCs w:val="22"/>
              </w:rPr>
              <w:t>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F410FD2" w14:textId="77777777" w:rsidR="00EE44FE" w:rsidRPr="00D065B1" w:rsidRDefault="00EE44FE" w:rsidP="00EE44FE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D065B1"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14:paraId="020E4698" w14:textId="7A832879" w:rsidR="008F2D9E" w:rsidRDefault="00942712" w:rsidP="00942712">
      <w:pPr>
        <w:spacing w:line="240" w:lineRule="auto"/>
        <w:rPr>
          <w:sz w:val="20"/>
          <w:szCs w:val="20"/>
        </w:rPr>
      </w:pPr>
      <w:r w:rsidRPr="00726B8C">
        <w:rPr>
          <w:b/>
        </w:rPr>
        <w:t xml:space="preserve">* </w:t>
      </w:r>
      <w:r w:rsidR="00A15BD4">
        <w:rPr>
          <w:sz w:val="20"/>
          <w:szCs w:val="20"/>
        </w:rPr>
        <w:t xml:space="preserve">This </w:t>
      </w:r>
      <w:r w:rsidR="00860A5D">
        <w:rPr>
          <w:sz w:val="20"/>
          <w:szCs w:val="20"/>
        </w:rPr>
        <w:t>includes</w:t>
      </w:r>
      <w:r w:rsidR="00860A5D" w:rsidRPr="00726B8C">
        <w:rPr>
          <w:sz w:val="20"/>
          <w:szCs w:val="20"/>
        </w:rPr>
        <w:t xml:space="preserve"> Cancer</w:t>
      </w:r>
      <w:r w:rsidR="00E260E2">
        <w:rPr>
          <w:sz w:val="20"/>
          <w:szCs w:val="20"/>
        </w:rPr>
        <w:t xml:space="preserve"> Services (75)</w:t>
      </w:r>
      <w:r w:rsidRPr="00726B8C">
        <w:rPr>
          <w:sz w:val="20"/>
          <w:szCs w:val="20"/>
        </w:rPr>
        <w:t>, Health-Related Benefits and Entitlements</w:t>
      </w:r>
      <w:r w:rsidR="00B17A77">
        <w:rPr>
          <w:sz w:val="20"/>
          <w:szCs w:val="20"/>
        </w:rPr>
        <w:t xml:space="preserve"> (73)</w:t>
      </w:r>
      <w:r w:rsidRPr="00726B8C">
        <w:rPr>
          <w:sz w:val="20"/>
          <w:szCs w:val="20"/>
        </w:rPr>
        <w:t xml:space="preserve">, </w:t>
      </w:r>
      <w:r w:rsidR="00B17A77">
        <w:rPr>
          <w:sz w:val="20"/>
          <w:szCs w:val="20"/>
        </w:rPr>
        <w:t>Health Service Agencies (47)</w:t>
      </w:r>
      <w:r w:rsidRPr="00726B8C">
        <w:rPr>
          <w:sz w:val="20"/>
          <w:szCs w:val="20"/>
        </w:rPr>
        <w:t xml:space="preserve">, </w:t>
      </w:r>
      <w:r w:rsidR="00B61ACC">
        <w:rPr>
          <w:sz w:val="20"/>
          <w:szCs w:val="20"/>
        </w:rPr>
        <w:t>Alcohol and Drug Treatment Services (36)</w:t>
      </w:r>
      <w:r w:rsidRPr="00726B8C">
        <w:rPr>
          <w:sz w:val="20"/>
          <w:szCs w:val="20"/>
        </w:rPr>
        <w:t xml:space="preserve">, </w:t>
      </w:r>
      <w:r w:rsidR="00B61ACC">
        <w:rPr>
          <w:sz w:val="20"/>
          <w:szCs w:val="20"/>
        </w:rPr>
        <w:t>Aids and Appliances (33)</w:t>
      </w:r>
      <w:r w:rsidRPr="00726B8C">
        <w:rPr>
          <w:sz w:val="20"/>
          <w:szCs w:val="20"/>
        </w:rPr>
        <w:t xml:space="preserve">, </w:t>
      </w:r>
      <w:r w:rsidR="00B61ACC">
        <w:rPr>
          <w:sz w:val="20"/>
          <w:szCs w:val="20"/>
        </w:rPr>
        <w:t>Pharmacy Services</w:t>
      </w:r>
      <w:r w:rsidR="00FA5E2B">
        <w:rPr>
          <w:sz w:val="20"/>
          <w:szCs w:val="20"/>
        </w:rPr>
        <w:t xml:space="preserve"> (28)</w:t>
      </w:r>
      <w:r w:rsidRPr="00726B8C">
        <w:rPr>
          <w:sz w:val="20"/>
          <w:szCs w:val="20"/>
        </w:rPr>
        <w:t>,</w:t>
      </w:r>
      <w:r w:rsidR="00FA5E2B">
        <w:rPr>
          <w:sz w:val="20"/>
          <w:szCs w:val="20"/>
        </w:rPr>
        <w:t xml:space="preserve"> </w:t>
      </w:r>
      <w:r w:rsidR="009C71D3" w:rsidRPr="00726B8C">
        <w:rPr>
          <w:sz w:val="20"/>
          <w:szCs w:val="20"/>
        </w:rPr>
        <w:t>Emergency Health Services</w:t>
      </w:r>
      <w:r w:rsidR="00FA5E2B">
        <w:rPr>
          <w:sz w:val="20"/>
          <w:szCs w:val="20"/>
        </w:rPr>
        <w:t xml:space="preserve"> (21)</w:t>
      </w:r>
      <w:r w:rsidR="009C71D3" w:rsidRPr="00726B8C">
        <w:rPr>
          <w:sz w:val="20"/>
          <w:szCs w:val="20"/>
        </w:rPr>
        <w:t xml:space="preserve">, </w:t>
      </w:r>
      <w:r w:rsidRPr="00726B8C">
        <w:rPr>
          <w:sz w:val="20"/>
          <w:szCs w:val="20"/>
        </w:rPr>
        <w:t>How Health Services are Organized</w:t>
      </w:r>
      <w:r w:rsidR="00FA5E2B">
        <w:rPr>
          <w:sz w:val="20"/>
          <w:szCs w:val="20"/>
        </w:rPr>
        <w:t xml:space="preserve"> (20)</w:t>
      </w:r>
      <w:r w:rsidRPr="00726B8C">
        <w:rPr>
          <w:sz w:val="20"/>
          <w:szCs w:val="20"/>
        </w:rPr>
        <w:t>,</w:t>
      </w:r>
      <w:r w:rsidR="00FA5E2B">
        <w:rPr>
          <w:sz w:val="20"/>
          <w:szCs w:val="20"/>
        </w:rPr>
        <w:t xml:space="preserve"> Women</w:t>
      </w:r>
      <w:r w:rsidR="00546FE1">
        <w:rPr>
          <w:sz w:val="20"/>
          <w:szCs w:val="20"/>
        </w:rPr>
        <w:t>’s Health (20),</w:t>
      </w:r>
      <w:r w:rsidRPr="00726B8C">
        <w:rPr>
          <w:sz w:val="20"/>
          <w:szCs w:val="20"/>
        </w:rPr>
        <w:t xml:space="preserve"> </w:t>
      </w:r>
      <w:r w:rsidR="00546FE1" w:rsidRPr="00726B8C">
        <w:rPr>
          <w:sz w:val="20"/>
          <w:szCs w:val="20"/>
        </w:rPr>
        <w:t>Environmental Health</w:t>
      </w:r>
      <w:r w:rsidR="00546FE1">
        <w:rPr>
          <w:sz w:val="20"/>
          <w:szCs w:val="20"/>
        </w:rPr>
        <w:t xml:space="preserve"> (8)</w:t>
      </w:r>
      <w:r w:rsidR="00546FE1" w:rsidRPr="00726B8C">
        <w:rPr>
          <w:sz w:val="20"/>
          <w:szCs w:val="20"/>
        </w:rPr>
        <w:t xml:space="preserve">, </w:t>
      </w:r>
      <w:r w:rsidRPr="00726B8C">
        <w:rPr>
          <w:sz w:val="20"/>
          <w:szCs w:val="20"/>
        </w:rPr>
        <w:t>Blood and Organ Donation</w:t>
      </w:r>
      <w:r w:rsidR="00546FE1">
        <w:rPr>
          <w:sz w:val="20"/>
          <w:szCs w:val="20"/>
        </w:rPr>
        <w:t xml:space="preserve"> (2)</w:t>
      </w:r>
      <w:r w:rsidRPr="00726B8C">
        <w:rPr>
          <w:sz w:val="20"/>
          <w:szCs w:val="20"/>
        </w:rPr>
        <w:t>, and Alternative Health</w:t>
      </w:r>
      <w:r w:rsidR="00546FE1">
        <w:rPr>
          <w:sz w:val="20"/>
          <w:szCs w:val="20"/>
        </w:rPr>
        <w:t xml:space="preserve"> (1)</w:t>
      </w:r>
      <w:r w:rsidRPr="00726B8C">
        <w:rPr>
          <w:sz w:val="20"/>
          <w:szCs w:val="20"/>
        </w:rPr>
        <w:t>.</w:t>
      </w:r>
      <w:r w:rsidR="009C71D3" w:rsidRPr="00726B8C">
        <w:rPr>
          <w:sz w:val="20"/>
          <w:szCs w:val="20"/>
        </w:rPr>
        <w:t xml:space="preserve"> </w:t>
      </w:r>
    </w:p>
    <w:p w14:paraId="1E662A7E" w14:textId="77777777" w:rsidR="00125B60" w:rsidRDefault="00125B60">
      <w:pPr>
        <w:rPr>
          <w:sz w:val="20"/>
          <w:szCs w:val="20"/>
        </w:rPr>
        <w:sectPr w:rsidR="00125B60" w:rsidSect="00586C6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36B45A38" w14:textId="5078E6FC" w:rsidR="008F2D9E" w:rsidRDefault="008F2D9E">
      <w:pPr>
        <w:rPr>
          <w:sz w:val="20"/>
          <w:szCs w:val="20"/>
        </w:rPr>
      </w:pPr>
    </w:p>
    <w:p w14:paraId="3FF5DE6D" w14:textId="59DAED49" w:rsidR="008F2D9E" w:rsidRPr="00D065B1" w:rsidRDefault="008F2D9E" w:rsidP="00D065B1">
      <w:pPr>
        <w:pStyle w:val="Heading1"/>
      </w:pPr>
      <w:r w:rsidRPr="00D065B1">
        <w:t>Quarter-on-Quarter Comparison: what’s new?</w:t>
      </w:r>
      <w:r w:rsidR="00D065B1">
        <w:t xml:space="preserve"> </w:t>
      </w:r>
      <w:r w:rsidR="00D065B1">
        <w:rPr>
          <w:rStyle w:val="FootnoteReference"/>
        </w:rPr>
        <w:footnoteReference w:id="1"/>
      </w:r>
      <w:r w:rsidR="00D065B1">
        <w:t xml:space="preserve"> </w:t>
      </w:r>
      <w:r w:rsidR="00D065B1">
        <w:rPr>
          <w:rStyle w:val="FootnoteReference"/>
        </w:rPr>
        <w:footnoteReference w:id="2"/>
      </w:r>
      <w:r w:rsidR="00D065B1">
        <w:t xml:space="preserve"> </w:t>
      </w:r>
    </w:p>
    <w:p w14:paraId="6415F8C5" w14:textId="77777777" w:rsidR="00860A5D" w:rsidRDefault="008F2D9E" w:rsidP="007203C4">
      <w:pPr>
        <w:jc w:val="both"/>
      </w:pPr>
      <w:r w:rsidRPr="00726B8C">
        <w:t xml:space="preserve">This section </w:t>
      </w:r>
      <w:r w:rsidR="00860A5D">
        <w:t>offers</w:t>
      </w:r>
      <w:r w:rsidRPr="00726B8C">
        <w:t xml:space="preserve"> insights into the categories that are not profiled in more detail </w:t>
      </w:r>
      <w:r w:rsidR="00860A5D">
        <w:t>above – i.e that are not in the top three (social welfare, housing and health) query areas</w:t>
      </w:r>
      <w:r w:rsidRPr="00726B8C">
        <w:t xml:space="preserve">. </w:t>
      </w:r>
    </w:p>
    <w:p w14:paraId="2721CCB1" w14:textId="15DBF509" w:rsidR="008F2D9E" w:rsidRDefault="008F2D9E" w:rsidP="007203C4">
      <w:pPr>
        <w:jc w:val="both"/>
      </w:pPr>
      <w:r w:rsidRPr="00726B8C">
        <w:t xml:space="preserve">The query comparisons are </w:t>
      </w:r>
      <w:r w:rsidR="00860A5D">
        <w:t>between</w:t>
      </w:r>
      <w:r w:rsidRPr="00726B8C">
        <w:t xml:space="preserve"> Q3</w:t>
      </w:r>
      <w:r w:rsidR="00860A5D">
        <w:t>,</w:t>
      </w:r>
      <w:r w:rsidRPr="00726B8C">
        <w:t xml:space="preserve"> 2023 </w:t>
      </w:r>
      <w:r w:rsidR="00860A5D">
        <w:t>and</w:t>
      </w:r>
      <w:r w:rsidRPr="00726B8C">
        <w:t xml:space="preserve"> Q3</w:t>
      </w:r>
      <w:r w:rsidR="00860A5D">
        <w:t>,</w:t>
      </w:r>
      <w:r w:rsidRPr="00726B8C">
        <w:t xml:space="preserve"> 2024</w:t>
      </w:r>
      <w:r w:rsidR="00860A5D">
        <w:t>. The</w:t>
      </w:r>
      <w:r w:rsidRPr="00726B8C">
        <w:t xml:space="preserve"> number</w:t>
      </w:r>
      <w:r>
        <w:t>s</w:t>
      </w:r>
      <w:r w:rsidRPr="00726B8C">
        <w:t xml:space="preserve"> in brackets </w:t>
      </w:r>
      <w:r>
        <w:t>are</w:t>
      </w:r>
      <w:r w:rsidRPr="00726B8C">
        <w:t xml:space="preserve"> the number of queries </w:t>
      </w:r>
      <w:r>
        <w:t>in Q3</w:t>
      </w:r>
      <w:r w:rsidR="00860A5D">
        <w:t>,</w:t>
      </w:r>
      <w:r>
        <w:t xml:space="preserve"> 2024</w:t>
      </w:r>
      <w:r w:rsidRPr="00726B8C">
        <w:t>.</w:t>
      </w:r>
    </w:p>
    <w:p w14:paraId="2E38EB9E" w14:textId="77777777" w:rsidR="008F2D9E" w:rsidRPr="00726B8C" w:rsidRDefault="008F2D9E" w:rsidP="008F2D9E">
      <w:r w:rsidRPr="00860A5D">
        <w:rPr>
          <w:rStyle w:val="Heading2Char"/>
        </w:rPr>
        <w:t xml:space="preserve">Employment </w:t>
      </w:r>
      <w:r w:rsidRPr="00860A5D">
        <w:t>queries</w:t>
      </w:r>
      <w:r w:rsidRPr="00726B8C">
        <w:t xml:space="preserve"> declined by 7.9% (10,887).</w:t>
      </w:r>
    </w:p>
    <w:p w14:paraId="58B3E3B0" w14:textId="77777777" w:rsidR="008F2D9E" w:rsidRPr="00726B8C" w:rsidRDefault="008F2D9E" w:rsidP="00417A27">
      <w:pPr>
        <w:pStyle w:val="ListParagraph"/>
      </w:pPr>
      <w:r w:rsidRPr="00726B8C">
        <w:t>Employment Rights and Conditions queries decreased by 12.1% (6,359).</w:t>
      </w:r>
    </w:p>
    <w:p w14:paraId="0832C83C" w14:textId="77777777" w:rsidR="008F2D9E" w:rsidRPr="00726B8C" w:rsidRDefault="008F2D9E" w:rsidP="00417A27">
      <w:pPr>
        <w:pStyle w:val="ListParagraph"/>
      </w:pPr>
      <w:r w:rsidRPr="00726B8C">
        <w:t>The number of queries relating to Contracts of Employment decreased by 14.2% (1,116).</w:t>
      </w:r>
    </w:p>
    <w:p w14:paraId="1F384B7D" w14:textId="77777777" w:rsidR="008F2D9E" w:rsidRPr="00726B8C" w:rsidRDefault="008F2D9E" w:rsidP="00417A27">
      <w:pPr>
        <w:pStyle w:val="ListParagraph"/>
      </w:pPr>
      <w:r w:rsidRPr="00726B8C">
        <w:t>Queries relating to Leave and Holidays decreased by 30.4% (898).</w:t>
      </w:r>
    </w:p>
    <w:p w14:paraId="4DB4BBE6" w14:textId="77777777" w:rsidR="008F2D9E" w:rsidRPr="00726B8C" w:rsidRDefault="008F2D9E" w:rsidP="00417A27">
      <w:pPr>
        <w:pStyle w:val="ListParagraph"/>
      </w:pPr>
      <w:r w:rsidRPr="00726B8C">
        <w:t>Sick Leave and Sick Pay Scheme queries declined by 5.2% (6</w:t>
      </w:r>
      <w:r>
        <w:t>8</w:t>
      </w:r>
      <w:r w:rsidRPr="00726B8C">
        <w:t>2).</w:t>
      </w:r>
    </w:p>
    <w:p w14:paraId="299936F4" w14:textId="77777777" w:rsidR="008F2D9E" w:rsidRPr="00726B8C" w:rsidRDefault="008F2D9E" w:rsidP="00417A27">
      <w:pPr>
        <w:pStyle w:val="ListParagraph"/>
      </w:pPr>
      <w:r w:rsidRPr="00726B8C">
        <w:t>Unemployment and Redundancy queries increased by 14.2% (1,024).</w:t>
      </w:r>
    </w:p>
    <w:p w14:paraId="75DE04A8" w14:textId="77777777" w:rsidR="008F2D9E" w:rsidRPr="008719F9" w:rsidRDefault="008F2D9E" w:rsidP="00417A27">
      <w:pPr>
        <w:pStyle w:val="ListParagraph"/>
      </w:pPr>
      <w:r w:rsidRPr="00726B8C">
        <w:t>Self-employment queries increased by 2.7% (937).</w:t>
      </w:r>
    </w:p>
    <w:p w14:paraId="61658EF3" w14:textId="77777777" w:rsidR="008F2D9E" w:rsidRPr="00726B8C" w:rsidRDefault="008F2D9E" w:rsidP="008F2D9E">
      <w:r w:rsidRPr="00860A5D">
        <w:rPr>
          <w:rStyle w:val="Heading2Char"/>
        </w:rPr>
        <w:t xml:space="preserve">Money and Tax </w:t>
      </w:r>
      <w:r w:rsidRPr="00860A5D">
        <w:t>queries</w:t>
      </w:r>
      <w:r w:rsidRPr="00726B8C">
        <w:t xml:space="preserve"> decreased by 6.8% (10,490).</w:t>
      </w:r>
    </w:p>
    <w:p w14:paraId="1029EC1A" w14:textId="77777777" w:rsidR="008F2D9E" w:rsidRPr="00726B8C" w:rsidRDefault="008F2D9E" w:rsidP="00417A27">
      <w:pPr>
        <w:pStyle w:val="ListParagraph"/>
      </w:pPr>
      <w:r w:rsidRPr="00726B8C">
        <w:t>Income Tax Credits and Reliefs queries decreased by 14.3% (2,135).</w:t>
      </w:r>
    </w:p>
    <w:p w14:paraId="33536388" w14:textId="77777777" w:rsidR="008F2D9E" w:rsidRPr="00726B8C" w:rsidRDefault="008F2D9E" w:rsidP="00417A27">
      <w:pPr>
        <w:pStyle w:val="ListParagraph"/>
      </w:pPr>
      <w:r w:rsidRPr="00726B8C">
        <w:t>Income Tax queries increased by 3.9% (2,061).</w:t>
      </w:r>
    </w:p>
    <w:p w14:paraId="211E3A31" w14:textId="77777777" w:rsidR="008F2D9E" w:rsidRPr="00726B8C" w:rsidRDefault="008F2D9E" w:rsidP="00417A27">
      <w:pPr>
        <w:pStyle w:val="ListParagraph"/>
      </w:pPr>
      <w:r w:rsidRPr="00726B8C">
        <w:t>Revenue Online queries decreased by 13.1% (1,649).</w:t>
      </w:r>
    </w:p>
    <w:p w14:paraId="1FAB1EDA" w14:textId="77777777" w:rsidR="008F2D9E" w:rsidRPr="00726B8C" w:rsidRDefault="008F2D9E" w:rsidP="00417A27">
      <w:pPr>
        <w:pStyle w:val="ListParagraph"/>
      </w:pPr>
      <w:r w:rsidRPr="00726B8C">
        <w:t>Income Tax refund queries increased by 9.6% (676).</w:t>
      </w:r>
    </w:p>
    <w:p w14:paraId="02CB5BC1" w14:textId="1C6D5434" w:rsidR="008F2D9E" w:rsidRPr="00726B8C" w:rsidRDefault="008F2D9E" w:rsidP="008F2D9E">
      <w:r w:rsidRPr="00860A5D">
        <w:rPr>
          <w:rStyle w:val="Heading2Char"/>
        </w:rPr>
        <w:t>Moving Country</w:t>
      </w:r>
      <w:r w:rsidRPr="00726B8C">
        <w:t xml:space="preserve"> queries decreased by 2.9% (9,737).</w:t>
      </w:r>
    </w:p>
    <w:p w14:paraId="4E8BA453" w14:textId="77777777" w:rsidR="008F2D9E" w:rsidRPr="00726B8C" w:rsidRDefault="008F2D9E" w:rsidP="00417A27">
      <w:pPr>
        <w:pStyle w:val="ListParagraph"/>
      </w:pPr>
      <w:r w:rsidRPr="00726B8C">
        <w:t>Irish Citizenship queries decreased by 23.2% (2,966).</w:t>
      </w:r>
    </w:p>
    <w:p w14:paraId="5E2BDA3F" w14:textId="77777777" w:rsidR="008F2D9E" w:rsidRPr="00726B8C" w:rsidRDefault="008F2D9E" w:rsidP="00417A27">
      <w:pPr>
        <w:pStyle w:val="ListParagraph"/>
      </w:pPr>
      <w:r w:rsidRPr="00726B8C">
        <w:t>Visa queries increased by 1.1% (857).</w:t>
      </w:r>
    </w:p>
    <w:p w14:paraId="5360886A" w14:textId="77777777" w:rsidR="008F2D9E" w:rsidRPr="00726B8C" w:rsidRDefault="008F2D9E" w:rsidP="00417A27">
      <w:pPr>
        <w:pStyle w:val="ListParagraph"/>
      </w:pPr>
      <w:r w:rsidRPr="00726B8C">
        <w:t>Irish Residence Permit (IRP) Applications and Renewals increased by 8.2% (764).</w:t>
      </w:r>
    </w:p>
    <w:p w14:paraId="395E2911" w14:textId="77777777" w:rsidR="008F2D9E" w:rsidRPr="00726B8C" w:rsidRDefault="008F2D9E" w:rsidP="00417A27">
      <w:pPr>
        <w:pStyle w:val="ListParagraph"/>
      </w:pPr>
      <w:r w:rsidRPr="00726B8C">
        <w:t>Asylum Seekers/Refugees- Ukrainian queries increased by 4.5% (679).</w:t>
      </w:r>
    </w:p>
    <w:p w14:paraId="6C5A53DB" w14:textId="77777777" w:rsidR="008F2D9E" w:rsidRPr="00726B8C" w:rsidRDefault="008F2D9E" w:rsidP="00417A27">
      <w:pPr>
        <w:pStyle w:val="ListParagraph"/>
      </w:pPr>
      <w:r w:rsidRPr="00726B8C">
        <w:t>Queries relating to Asylum Seekers and Refugees queries increased by 76.3% (492).</w:t>
      </w:r>
    </w:p>
    <w:p w14:paraId="604FDADD" w14:textId="77777777" w:rsidR="008F2D9E" w:rsidRPr="00726B8C" w:rsidRDefault="008F2D9E" w:rsidP="008F2D9E">
      <w:r w:rsidRPr="00860A5D">
        <w:rPr>
          <w:rStyle w:val="Heading2Char"/>
        </w:rPr>
        <w:t>Travel and Recreation</w:t>
      </w:r>
      <w:r w:rsidRPr="00726B8C">
        <w:t xml:space="preserve"> queries declined by 2% (5,027).</w:t>
      </w:r>
    </w:p>
    <w:p w14:paraId="728C361C" w14:textId="77777777" w:rsidR="008F2D9E" w:rsidRPr="00726B8C" w:rsidRDefault="008F2D9E" w:rsidP="00417A27">
      <w:pPr>
        <w:pStyle w:val="ListParagraph"/>
      </w:pPr>
      <w:r w:rsidRPr="00726B8C">
        <w:t>Queries relating to Motoring remained steady (1,818).</w:t>
      </w:r>
    </w:p>
    <w:p w14:paraId="0804CA9C" w14:textId="77777777" w:rsidR="008F2D9E" w:rsidRPr="00726B8C" w:rsidRDefault="008F2D9E" w:rsidP="00417A27">
      <w:pPr>
        <w:pStyle w:val="ListParagraph"/>
      </w:pPr>
      <w:r w:rsidRPr="00726B8C">
        <w:t>Passport queries remained at a continuous level (1,657).</w:t>
      </w:r>
    </w:p>
    <w:p w14:paraId="3ADD6EA8" w14:textId="77777777" w:rsidR="008F2D9E" w:rsidRPr="00726B8C" w:rsidRDefault="008F2D9E" w:rsidP="00417A27">
      <w:pPr>
        <w:pStyle w:val="ListParagraph"/>
      </w:pPr>
      <w:r w:rsidRPr="00726B8C">
        <w:t>Transport and Disability decreased by 19.1% (296).</w:t>
      </w:r>
    </w:p>
    <w:p w14:paraId="5BEAEE68" w14:textId="77777777" w:rsidR="008F2D9E" w:rsidRPr="00726B8C" w:rsidRDefault="008F2D9E" w:rsidP="008F2D9E">
      <w:r w:rsidRPr="00860A5D">
        <w:rPr>
          <w:rStyle w:val="Heading2Char"/>
        </w:rPr>
        <w:t>Justice</w:t>
      </w:r>
      <w:r w:rsidRPr="00726B8C">
        <w:t xml:space="preserve"> queries declined by 14.8% (4,655).</w:t>
      </w:r>
    </w:p>
    <w:p w14:paraId="5EC901A4" w14:textId="77777777" w:rsidR="008F2D9E" w:rsidRPr="00726B8C" w:rsidRDefault="008F2D9E" w:rsidP="00417A27">
      <w:pPr>
        <w:pStyle w:val="ListParagraph"/>
      </w:pPr>
      <w:r w:rsidRPr="00726B8C">
        <w:t>Legal Aid and Advice queries declined by 19.1% (2,2</w:t>
      </w:r>
      <w:r>
        <w:t>1</w:t>
      </w:r>
      <w:r w:rsidRPr="00726B8C">
        <w:t>1).</w:t>
      </w:r>
    </w:p>
    <w:p w14:paraId="6050E610" w14:textId="77777777" w:rsidR="008F2D9E" w:rsidRPr="00726B8C" w:rsidRDefault="008F2D9E" w:rsidP="00417A27">
      <w:pPr>
        <w:pStyle w:val="ListParagraph"/>
      </w:pPr>
      <w:r w:rsidRPr="00726B8C">
        <w:t>Civil Law queries declined by 20.0% (387).</w:t>
      </w:r>
    </w:p>
    <w:p w14:paraId="7CDEFE9F" w14:textId="77777777" w:rsidR="0025314B" w:rsidRDefault="0025314B" w:rsidP="008F2D9E"/>
    <w:p w14:paraId="1A96ECD3" w14:textId="1857D6FA" w:rsidR="008F2D9E" w:rsidRPr="00726B8C" w:rsidRDefault="008F2D9E" w:rsidP="008F2D9E">
      <w:r w:rsidRPr="00860A5D">
        <w:rPr>
          <w:rStyle w:val="Heading2Char"/>
        </w:rPr>
        <w:lastRenderedPageBreak/>
        <w:t>Birth, Family and Relationships</w:t>
      </w:r>
      <w:r w:rsidRPr="00726B8C">
        <w:t xml:space="preserve"> queries declined by 7.5% (4,338).</w:t>
      </w:r>
    </w:p>
    <w:p w14:paraId="2B081B8B" w14:textId="77777777" w:rsidR="008F2D9E" w:rsidRPr="00726B8C" w:rsidRDefault="008F2D9E" w:rsidP="00417A27">
      <w:pPr>
        <w:pStyle w:val="ListParagraph"/>
      </w:pPr>
      <w:r w:rsidRPr="00726B8C">
        <w:t xml:space="preserve">Separation and Divorce are down </w:t>
      </w:r>
      <w:r>
        <w:t>3.1</w:t>
      </w:r>
      <w:r w:rsidRPr="00726B8C">
        <w:t>% (1,283).</w:t>
      </w:r>
    </w:p>
    <w:p w14:paraId="71156282" w14:textId="77777777" w:rsidR="008F2D9E" w:rsidRPr="00726B8C" w:rsidRDefault="008F2D9E" w:rsidP="00417A27">
      <w:pPr>
        <w:pStyle w:val="ListParagraph"/>
      </w:pPr>
      <w:r w:rsidRPr="00726B8C">
        <w:t>Maintenance queries declined by 18.5% (551).</w:t>
      </w:r>
    </w:p>
    <w:p w14:paraId="5C710C36" w14:textId="77777777" w:rsidR="008F2D9E" w:rsidRPr="00726B8C" w:rsidRDefault="008F2D9E" w:rsidP="00417A27">
      <w:pPr>
        <w:pStyle w:val="ListParagraph"/>
      </w:pPr>
      <w:r w:rsidRPr="00726B8C">
        <w:t>Custody and Access queries dropped by 17.5% (378).</w:t>
      </w:r>
    </w:p>
    <w:p w14:paraId="77EE5E89" w14:textId="77777777" w:rsidR="008F2D9E" w:rsidRPr="00726B8C" w:rsidRDefault="008F2D9E" w:rsidP="00417A27">
      <w:pPr>
        <w:pStyle w:val="ListParagraph"/>
      </w:pPr>
      <w:r w:rsidRPr="00726B8C">
        <w:t>Problems in Marriages and Relationships queries decreased by 16.7% (319).</w:t>
      </w:r>
    </w:p>
    <w:p w14:paraId="0EADB5B1" w14:textId="77777777" w:rsidR="008F2D9E" w:rsidRPr="00726B8C" w:rsidRDefault="008F2D9E" w:rsidP="008F2D9E">
      <w:r w:rsidRPr="00860A5D">
        <w:rPr>
          <w:rStyle w:val="Heading2Char"/>
        </w:rPr>
        <w:t>Education and Training</w:t>
      </w:r>
      <w:r w:rsidRPr="00726B8C">
        <w:t xml:space="preserve"> queries declined by 14.1% (4,232 queries).</w:t>
      </w:r>
    </w:p>
    <w:p w14:paraId="39200DF5" w14:textId="77777777" w:rsidR="008F2D9E" w:rsidRPr="00726B8C" w:rsidRDefault="008F2D9E" w:rsidP="00417A27">
      <w:pPr>
        <w:pStyle w:val="ListParagraph"/>
      </w:pPr>
      <w:r w:rsidRPr="00726B8C">
        <w:t>Queries relating to Third-Level Education declined by 18.4% (1,955).</w:t>
      </w:r>
    </w:p>
    <w:p w14:paraId="1DC454DC" w14:textId="77777777" w:rsidR="008F2D9E" w:rsidRPr="00726B8C" w:rsidRDefault="008F2D9E" w:rsidP="00417A27">
      <w:pPr>
        <w:pStyle w:val="ListParagraph"/>
      </w:pPr>
      <w:r w:rsidRPr="00726B8C">
        <w:t>Vocational Education and Training queries increased by 15.3% (665).</w:t>
      </w:r>
    </w:p>
    <w:p w14:paraId="0FF84222" w14:textId="77777777" w:rsidR="008F2D9E" w:rsidRPr="00726B8C" w:rsidRDefault="008F2D9E" w:rsidP="008F2D9E">
      <w:r w:rsidRPr="00860A5D">
        <w:rPr>
          <w:rStyle w:val="Heading2Char"/>
        </w:rPr>
        <w:t>Consumer Affairs</w:t>
      </w:r>
      <w:r w:rsidRPr="00726B8C">
        <w:t xml:space="preserve"> queries dropped by 4.7% (2,690).</w:t>
      </w:r>
    </w:p>
    <w:p w14:paraId="420DCD65" w14:textId="77777777" w:rsidR="008F2D9E" w:rsidRPr="00726B8C" w:rsidRDefault="008F2D9E" w:rsidP="00417A27">
      <w:pPr>
        <w:pStyle w:val="ListParagraph"/>
      </w:pPr>
      <w:r w:rsidRPr="00726B8C">
        <w:t>Energy/ Utilities Services queries declined by 8.3% (534).</w:t>
      </w:r>
    </w:p>
    <w:p w14:paraId="268D7AA1" w14:textId="77777777" w:rsidR="008F2D9E" w:rsidRPr="00726B8C" w:rsidRDefault="008F2D9E" w:rsidP="00417A27">
      <w:pPr>
        <w:pStyle w:val="ListParagraph"/>
      </w:pPr>
      <w:r w:rsidRPr="00726B8C">
        <w:t>Queries relating to consumer protection decreased by 24.9% (531).</w:t>
      </w:r>
    </w:p>
    <w:p w14:paraId="1CA62B49" w14:textId="77777777" w:rsidR="008F2D9E" w:rsidRPr="00726B8C" w:rsidRDefault="008F2D9E" w:rsidP="00417A27">
      <w:pPr>
        <w:pStyle w:val="ListParagraph"/>
      </w:pPr>
      <w:r w:rsidRPr="00726B8C">
        <w:t>Motoring queries increased by 42.4% (336).</w:t>
      </w:r>
    </w:p>
    <w:p w14:paraId="2DD75D39" w14:textId="77777777" w:rsidR="008F2D9E" w:rsidRPr="00726B8C" w:rsidRDefault="008F2D9E" w:rsidP="008F2D9E">
      <w:r w:rsidRPr="00860A5D">
        <w:rPr>
          <w:rStyle w:val="Heading2Char"/>
        </w:rPr>
        <w:t>Government in Ireland</w:t>
      </w:r>
      <w:r w:rsidRPr="00726B8C">
        <w:t xml:space="preserve"> queries remained at a steady level (1,372).</w:t>
      </w:r>
    </w:p>
    <w:p w14:paraId="3A20150C" w14:textId="77777777" w:rsidR="008F2D9E" w:rsidRPr="00726B8C" w:rsidRDefault="008F2D9E" w:rsidP="00417A27">
      <w:pPr>
        <w:pStyle w:val="ListParagraph"/>
      </w:pPr>
      <w:r w:rsidRPr="00726B8C">
        <w:t>MyGovID queries increased by 10.9% (558).</w:t>
      </w:r>
    </w:p>
    <w:p w14:paraId="7BD42FD1" w14:textId="77777777" w:rsidR="008F2D9E" w:rsidRPr="00726B8C" w:rsidRDefault="008F2D9E" w:rsidP="008F2D9E">
      <w:r w:rsidRPr="00860A5D">
        <w:rPr>
          <w:rStyle w:val="Heading2Char"/>
        </w:rPr>
        <w:t>Death and Bereavement</w:t>
      </w:r>
      <w:r w:rsidRPr="00726B8C">
        <w:t xml:space="preserve"> queries declined by 8.3% (1,363).</w:t>
      </w:r>
    </w:p>
    <w:p w14:paraId="163B698D" w14:textId="77777777" w:rsidR="008F2D9E" w:rsidRPr="00726B8C" w:rsidRDefault="008F2D9E" w:rsidP="00417A27">
      <w:pPr>
        <w:pStyle w:val="ListParagraph"/>
      </w:pPr>
      <w:r w:rsidRPr="00726B8C">
        <w:t>The Deceased’s Estate queries declined by 6.2% (422).</w:t>
      </w:r>
    </w:p>
    <w:p w14:paraId="004D0D2F" w14:textId="77777777" w:rsidR="008F2D9E" w:rsidRPr="00726B8C" w:rsidRDefault="008F2D9E" w:rsidP="00417A27">
      <w:pPr>
        <w:pStyle w:val="ListParagraph"/>
      </w:pPr>
      <w:r w:rsidRPr="00726B8C">
        <w:t>Before Death queries dropped by 20.3% (260)</w:t>
      </w:r>
    </w:p>
    <w:p w14:paraId="26FF7814" w14:textId="77777777" w:rsidR="008F2D9E" w:rsidRPr="00726B8C" w:rsidRDefault="008F2D9E" w:rsidP="0002338D">
      <w:pPr>
        <w:ind w:left="1080"/>
      </w:pPr>
    </w:p>
    <w:p w14:paraId="31AE4CFE" w14:textId="77777777" w:rsidR="008F2D9E" w:rsidRPr="00726B8C" w:rsidRDefault="008F2D9E" w:rsidP="0002338D">
      <w:pPr>
        <w:ind w:left="1080"/>
      </w:pPr>
    </w:p>
    <w:p w14:paraId="06CC7735" w14:textId="77777777" w:rsidR="008F2D9E" w:rsidRPr="00726B8C" w:rsidRDefault="008F2D9E" w:rsidP="0002338D">
      <w:pPr>
        <w:ind w:left="1080"/>
      </w:pPr>
    </w:p>
    <w:p w14:paraId="6D05D1F1" w14:textId="77777777" w:rsidR="008F2D9E" w:rsidRPr="00726B8C" w:rsidRDefault="008F2D9E" w:rsidP="0002338D">
      <w:pPr>
        <w:ind w:left="1080"/>
      </w:pPr>
    </w:p>
    <w:p w14:paraId="6AF7EDC9" w14:textId="77777777" w:rsidR="00942712" w:rsidRPr="0038793B" w:rsidRDefault="00942712" w:rsidP="00942712">
      <w:pPr>
        <w:spacing w:line="240" w:lineRule="auto"/>
        <w:rPr>
          <w:sz w:val="20"/>
          <w:szCs w:val="20"/>
          <w:lang w:val="en-US"/>
        </w:rPr>
      </w:pPr>
    </w:p>
    <w:sectPr w:rsidR="00942712" w:rsidRPr="0038793B" w:rsidSect="00586C6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AE7F" w14:textId="77777777" w:rsidR="000E5AE4" w:rsidRPr="00726B8C" w:rsidRDefault="000E5AE4" w:rsidP="00942712">
      <w:pPr>
        <w:spacing w:after="0" w:line="240" w:lineRule="auto"/>
      </w:pPr>
      <w:r w:rsidRPr="00726B8C">
        <w:separator/>
      </w:r>
    </w:p>
  </w:endnote>
  <w:endnote w:type="continuationSeparator" w:id="0">
    <w:p w14:paraId="4DE270AF" w14:textId="77777777" w:rsidR="000E5AE4" w:rsidRPr="00726B8C" w:rsidRDefault="000E5AE4" w:rsidP="00942712">
      <w:pPr>
        <w:spacing w:after="0" w:line="240" w:lineRule="auto"/>
      </w:pPr>
      <w:r w:rsidRPr="00726B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900264"/>
      <w:docPartObj>
        <w:docPartGallery w:val="Page Numbers (Bottom of Page)"/>
        <w:docPartUnique/>
      </w:docPartObj>
    </w:sdtPr>
    <w:sdtEndPr/>
    <w:sdtContent>
      <w:p w14:paraId="736CC53A" w14:textId="44CF8F10" w:rsidR="001A7B46" w:rsidRPr="00726B8C" w:rsidRDefault="001A7B46">
        <w:pPr>
          <w:jc w:val="right"/>
        </w:pPr>
        <w:r w:rsidRPr="00726B8C">
          <w:fldChar w:fldCharType="begin"/>
        </w:r>
        <w:r w:rsidRPr="00726B8C">
          <w:instrText xml:space="preserve"> PAGE   \* MERGEFORMAT </w:instrText>
        </w:r>
        <w:r w:rsidRPr="00726B8C">
          <w:fldChar w:fldCharType="separate"/>
        </w:r>
        <w:r w:rsidR="009332BF" w:rsidRPr="00726B8C">
          <w:t>1</w:t>
        </w:r>
        <w:r w:rsidRPr="00726B8C">
          <w:fldChar w:fldCharType="end"/>
        </w:r>
      </w:p>
    </w:sdtContent>
  </w:sdt>
  <w:p w14:paraId="2ED73A08" w14:textId="77777777" w:rsidR="001A7B46" w:rsidRPr="00726B8C" w:rsidRDefault="001A7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5E3F" w14:textId="77777777" w:rsidR="000E5AE4" w:rsidRPr="00726B8C" w:rsidRDefault="000E5AE4" w:rsidP="00942712">
      <w:pPr>
        <w:spacing w:after="0" w:line="240" w:lineRule="auto"/>
      </w:pPr>
      <w:r w:rsidRPr="00726B8C">
        <w:separator/>
      </w:r>
    </w:p>
  </w:footnote>
  <w:footnote w:type="continuationSeparator" w:id="0">
    <w:p w14:paraId="1DB8C1A2" w14:textId="77777777" w:rsidR="000E5AE4" w:rsidRPr="00726B8C" w:rsidRDefault="000E5AE4" w:rsidP="00942712">
      <w:pPr>
        <w:spacing w:after="0" w:line="240" w:lineRule="auto"/>
      </w:pPr>
      <w:r w:rsidRPr="00726B8C">
        <w:continuationSeparator/>
      </w:r>
    </w:p>
  </w:footnote>
  <w:footnote w:id="1">
    <w:p w14:paraId="5C0CE047" w14:textId="085C625A" w:rsidR="00D065B1" w:rsidRDefault="00D065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6B8C">
        <w:t xml:space="preserve">Quarterly query trends are </w:t>
      </w:r>
      <w:r w:rsidRPr="00860A5D">
        <w:t>not</w:t>
      </w:r>
      <w:r w:rsidR="00860A5D" w:rsidRPr="00860A5D">
        <w:t xml:space="preserve"> necessarily</w:t>
      </w:r>
      <w:r w:rsidRPr="00726B8C">
        <w:t xml:space="preserve"> indicative of trends for a full year’s dataset – changes and patterns reflected from quarter to quarter may balance out over a year. </w:t>
      </w:r>
    </w:p>
  </w:footnote>
  <w:footnote w:id="2">
    <w:p w14:paraId="4D3D3CEC" w14:textId="3C516C5C" w:rsidR="00D065B1" w:rsidRPr="00726B8C" w:rsidRDefault="00D065B1" w:rsidP="00D065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6B8C">
        <w:t>The percentage changes captured in this report reflect comparisons between Q3</w:t>
      </w:r>
      <w:r w:rsidR="00860A5D">
        <w:t>,</w:t>
      </w:r>
      <w:r w:rsidRPr="00726B8C">
        <w:t xml:space="preserve"> 2023 and Q3</w:t>
      </w:r>
      <w:r w:rsidR="00860A5D">
        <w:t>,</w:t>
      </w:r>
      <w:r w:rsidRPr="00726B8C">
        <w:t xml:space="preserve"> 2024 unless otherwise specified.</w:t>
      </w:r>
    </w:p>
    <w:p w14:paraId="07EDD5B6" w14:textId="41570A64" w:rsidR="00D065B1" w:rsidRDefault="00D065B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62BA"/>
    <w:multiLevelType w:val="hybridMultilevel"/>
    <w:tmpl w:val="E318A46C"/>
    <w:lvl w:ilvl="0" w:tplc="2D80EC92">
      <w:start w:val="2"/>
      <w:numFmt w:val="bullet"/>
      <w:pStyle w:val="ListParagraph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24AAD"/>
    <w:multiLevelType w:val="hybridMultilevel"/>
    <w:tmpl w:val="9DCC1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5199"/>
    <w:multiLevelType w:val="hybridMultilevel"/>
    <w:tmpl w:val="2752C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73449"/>
    <w:multiLevelType w:val="hybridMultilevel"/>
    <w:tmpl w:val="370E5F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539CD"/>
    <w:multiLevelType w:val="hybridMultilevel"/>
    <w:tmpl w:val="45F409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60343"/>
    <w:multiLevelType w:val="hybridMultilevel"/>
    <w:tmpl w:val="8388946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4855D8F"/>
    <w:multiLevelType w:val="hybridMultilevel"/>
    <w:tmpl w:val="F53816D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27C4B"/>
    <w:multiLevelType w:val="hybridMultilevel"/>
    <w:tmpl w:val="719A8CD0"/>
    <w:lvl w:ilvl="0" w:tplc="776CC5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06ECA"/>
    <w:multiLevelType w:val="hybridMultilevel"/>
    <w:tmpl w:val="626C206A"/>
    <w:lvl w:ilvl="0" w:tplc="7960E818">
      <w:start w:val="9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51574"/>
    <w:multiLevelType w:val="hybridMultilevel"/>
    <w:tmpl w:val="A2284A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C6DBF"/>
    <w:multiLevelType w:val="hybridMultilevel"/>
    <w:tmpl w:val="0F6018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F976975"/>
    <w:multiLevelType w:val="hybridMultilevel"/>
    <w:tmpl w:val="53F4463A"/>
    <w:lvl w:ilvl="0" w:tplc="6AB4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416F9"/>
    <w:multiLevelType w:val="hybridMultilevel"/>
    <w:tmpl w:val="29B69B5E"/>
    <w:lvl w:ilvl="0" w:tplc="F32A35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  <w:color w:val="000000"/>
        <w:sz w:val="22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C0999"/>
    <w:multiLevelType w:val="hybridMultilevel"/>
    <w:tmpl w:val="B58C5412"/>
    <w:lvl w:ilvl="0" w:tplc="9D8ED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A2D90"/>
    <w:multiLevelType w:val="hybridMultilevel"/>
    <w:tmpl w:val="512C97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8763">
    <w:abstractNumId w:val="13"/>
  </w:num>
  <w:num w:numId="2" w16cid:durableId="320475971">
    <w:abstractNumId w:val="7"/>
  </w:num>
  <w:num w:numId="3" w16cid:durableId="263805428">
    <w:abstractNumId w:val="1"/>
  </w:num>
  <w:num w:numId="4" w16cid:durableId="327708081">
    <w:abstractNumId w:val="3"/>
  </w:num>
  <w:num w:numId="5" w16cid:durableId="1820345170">
    <w:abstractNumId w:val="11"/>
  </w:num>
  <w:num w:numId="6" w16cid:durableId="1168131656">
    <w:abstractNumId w:val="14"/>
  </w:num>
  <w:num w:numId="7" w16cid:durableId="1519587402">
    <w:abstractNumId w:val="17"/>
  </w:num>
  <w:num w:numId="8" w16cid:durableId="1225409336">
    <w:abstractNumId w:val="2"/>
  </w:num>
  <w:num w:numId="9" w16cid:durableId="1943024192">
    <w:abstractNumId w:val="5"/>
  </w:num>
  <w:num w:numId="10" w16cid:durableId="223417068">
    <w:abstractNumId w:val="12"/>
  </w:num>
  <w:num w:numId="11" w16cid:durableId="720055184">
    <w:abstractNumId w:val="6"/>
  </w:num>
  <w:num w:numId="12" w16cid:durableId="947859852">
    <w:abstractNumId w:val="8"/>
  </w:num>
  <w:num w:numId="13" w16cid:durableId="692271513">
    <w:abstractNumId w:val="16"/>
  </w:num>
  <w:num w:numId="14" w16cid:durableId="1083600349">
    <w:abstractNumId w:val="15"/>
  </w:num>
  <w:num w:numId="15" w16cid:durableId="1267270101">
    <w:abstractNumId w:val="14"/>
  </w:num>
  <w:num w:numId="16" w16cid:durableId="1367560060">
    <w:abstractNumId w:val="10"/>
  </w:num>
  <w:num w:numId="17" w16cid:durableId="1323972272">
    <w:abstractNumId w:val="16"/>
  </w:num>
  <w:num w:numId="18" w16cid:durableId="1694766086">
    <w:abstractNumId w:val="16"/>
  </w:num>
  <w:num w:numId="19" w16cid:durableId="1911650667">
    <w:abstractNumId w:val="9"/>
  </w:num>
  <w:num w:numId="20" w16cid:durableId="1557933214">
    <w:abstractNumId w:val="0"/>
  </w:num>
  <w:num w:numId="21" w16cid:durableId="1474056115">
    <w:abstractNumId w:val="0"/>
  </w:num>
  <w:num w:numId="22" w16cid:durableId="501774280">
    <w:abstractNumId w:val="0"/>
  </w:num>
  <w:num w:numId="23" w16cid:durableId="515268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3NDYxMzKyMDA2NrdU0lEKTi0uzszPAykwrwUAMWfdVywAAAA="/>
  </w:docVars>
  <w:rsids>
    <w:rsidRoot w:val="00942712"/>
    <w:rsid w:val="00003607"/>
    <w:rsid w:val="00014EAA"/>
    <w:rsid w:val="0002198B"/>
    <w:rsid w:val="0002338D"/>
    <w:rsid w:val="00023782"/>
    <w:rsid w:val="000268F8"/>
    <w:rsid w:val="0002700A"/>
    <w:rsid w:val="00030A86"/>
    <w:rsid w:val="00030DE2"/>
    <w:rsid w:val="00031A64"/>
    <w:rsid w:val="0003612F"/>
    <w:rsid w:val="00036978"/>
    <w:rsid w:val="00037DDC"/>
    <w:rsid w:val="000430B2"/>
    <w:rsid w:val="000432A1"/>
    <w:rsid w:val="0004776E"/>
    <w:rsid w:val="0005503A"/>
    <w:rsid w:val="00064DBE"/>
    <w:rsid w:val="00065715"/>
    <w:rsid w:val="000719E2"/>
    <w:rsid w:val="00072789"/>
    <w:rsid w:val="000757F3"/>
    <w:rsid w:val="00075AE9"/>
    <w:rsid w:val="00083099"/>
    <w:rsid w:val="00094521"/>
    <w:rsid w:val="00094B27"/>
    <w:rsid w:val="00094DB8"/>
    <w:rsid w:val="00096551"/>
    <w:rsid w:val="000A0203"/>
    <w:rsid w:val="000A4208"/>
    <w:rsid w:val="000A50A0"/>
    <w:rsid w:val="000B4057"/>
    <w:rsid w:val="000B4AE2"/>
    <w:rsid w:val="000B50C5"/>
    <w:rsid w:val="000B641A"/>
    <w:rsid w:val="000B7ED0"/>
    <w:rsid w:val="000C13AB"/>
    <w:rsid w:val="000C3899"/>
    <w:rsid w:val="000C6DC1"/>
    <w:rsid w:val="000C72D6"/>
    <w:rsid w:val="000D1AA7"/>
    <w:rsid w:val="000D1DC4"/>
    <w:rsid w:val="000D238E"/>
    <w:rsid w:val="000D720F"/>
    <w:rsid w:val="000E0C2C"/>
    <w:rsid w:val="000E1B97"/>
    <w:rsid w:val="000E388D"/>
    <w:rsid w:val="000E3C4A"/>
    <w:rsid w:val="000E4E5C"/>
    <w:rsid w:val="000E5AE4"/>
    <w:rsid w:val="000E5BCF"/>
    <w:rsid w:val="000E64DF"/>
    <w:rsid w:val="000E73ED"/>
    <w:rsid w:val="000E7F61"/>
    <w:rsid w:val="000F2D59"/>
    <w:rsid w:val="000F47A6"/>
    <w:rsid w:val="001036E8"/>
    <w:rsid w:val="00111C28"/>
    <w:rsid w:val="00111E9A"/>
    <w:rsid w:val="00115A06"/>
    <w:rsid w:val="00125B60"/>
    <w:rsid w:val="00130FF9"/>
    <w:rsid w:val="00131F8C"/>
    <w:rsid w:val="00137E6B"/>
    <w:rsid w:val="00142D68"/>
    <w:rsid w:val="00144122"/>
    <w:rsid w:val="00150336"/>
    <w:rsid w:val="00150C36"/>
    <w:rsid w:val="00153593"/>
    <w:rsid w:val="00155A88"/>
    <w:rsid w:val="001616F9"/>
    <w:rsid w:val="00163323"/>
    <w:rsid w:val="00167A39"/>
    <w:rsid w:val="00167F0D"/>
    <w:rsid w:val="00171C29"/>
    <w:rsid w:val="00173A5F"/>
    <w:rsid w:val="001747EC"/>
    <w:rsid w:val="00174A1A"/>
    <w:rsid w:val="00174D7C"/>
    <w:rsid w:val="00180622"/>
    <w:rsid w:val="00181434"/>
    <w:rsid w:val="0018162A"/>
    <w:rsid w:val="001821C7"/>
    <w:rsid w:val="001831C9"/>
    <w:rsid w:val="001862DA"/>
    <w:rsid w:val="00187F02"/>
    <w:rsid w:val="00194D45"/>
    <w:rsid w:val="00196576"/>
    <w:rsid w:val="00197D7A"/>
    <w:rsid w:val="001A21F2"/>
    <w:rsid w:val="001A4878"/>
    <w:rsid w:val="001A669C"/>
    <w:rsid w:val="001A673E"/>
    <w:rsid w:val="001A7B46"/>
    <w:rsid w:val="001B491F"/>
    <w:rsid w:val="001B6988"/>
    <w:rsid w:val="001C26DD"/>
    <w:rsid w:val="001C440E"/>
    <w:rsid w:val="001D0370"/>
    <w:rsid w:val="001D1491"/>
    <w:rsid w:val="001D3F80"/>
    <w:rsid w:val="001D4CBC"/>
    <w:rsid w:val="001D6F3E"/>
    <w:rsid w:val="001E065D"/>
    <w:rsid w:val="001E0C97"/>
    <w:rsid w:val="001E6C10"/>
    <w:rsid w:val="001E6C40"/>
    <w:rsid w:val="001F1B35"/>
    <w:rsid w:val="001F1BB4"/>
    <w:rsid w:val="001F4F60"/>
    <w:rsid w:val="0020070F"/>
    <w:rsid w:val="0020282F"/>
    <w:rsid w:val="002041A1"/>
    <w:rsid w:val="002052AB"/>
    <w:rsid w:val="00205F8F"/>
    <w:rsid w:val="00207251"/>
    <w:rsid w:val="00213E79"/>
    <w:rsid w:val="00214364"/>
    <w:rsid w:val="00214431"/>
    <w:rsid w:val="00222192"/>
    <w:rsid w:val="002225C6"/>
    <w:rsid w:val="00222F9F"/>
    <w:rsid w:val="002232FC"/>
    <w:rsid w:val="002233C5"/>
    <w:rsid w:val="002316CF"/>
    <w:rsid w:val="00234402"/>
    <w:rsid w:val="00240917"/>
    <w:rsid w:val="0024193D"/>
    <w:rsid w:val="002434C4"/>
    <w:rsid w:val="002454FF"/>
    <w:rsid w:val="00246FD1"/>
    <w:rsid w:val="00247401"/>
    <w:rsid w:val="00247F09"/>
    <w:rsid w:val="00252438"/>
    <w:rsid w:val="0025314B"/>
    <w:rsid w:val="0025497A"/>
    <w:rsid w:val="002551DE"/>
    <w:rsid w:val="00255770"/>
    <w:rsid w:val="00263976"/>
    <w:rsid w:val="0026771C"/>
    <w:rsid w:val="00270616"/>
    <w:rsid w:val="00270A02"/>
    <w:rsid w:val="002778FD"/>
    <w:rsid w:val="00281105"/>
    <w:rsid w:val="00281273"/>
    <w:rsid w:val="0028186B"/>
    <w:rsid w:val="002846A0"/>
    <w:rsid w:val="00287B32"/>
    <w:rsid w:val="00287C39"/>
    <w:rsid w:val="00290362"/>
    <w:rsid w:val="00292356"/>
    <w:rsid w:val="00295608"/>
    <w:rsid w:val="00296592"/>
    <w:rsid w:val="00296CC2"/>
    <w:rsid w:val="002A2655"/>
    <w:rsid w:val="002A6DE8"/>
    <w:rsid w:val="002B2452"/>
    <w:rsid w:val="002B24A6"/>
    <w:rsid w:val="002B351A"/>
    <w:rsid w:val="002C10D3"/>
    <w:rsid w:val="002C13D3"/>
    <w:rsid w:val="002C2688"/>
    <w:rsid w:val="002C2CA4"/>
    <w:rsid w:val="002C3923"/>
    <w:rsid w:val="002C691A"/>
    <w:rsid w:val="002D1B39"/>
    <w:rsid w:val="002D35D0"/>
    <w:rsid w:val="002D394B"/>
    <w:rsid w:val="002E1F5F"/>
    <w:rsid w:val="002E5342"/>
    <w:rsid w:val="002E554D"/>
    <w:rsid w:val="002F0019"/>
    <w:rsid w:val="002F6F7D"/>
    <w:rsid w:val="002F706D"/>
    <w:rsid w:val="003035DE"/>
    <w:rsid w:val="0030525D"/>
    <w:rsid w:val="00307D67"/>
    <w:rsid w:val="00311358"/>
    <w:rsid w:val="00312A69"/>
    <w:rsid w:val="00312FDE"/>
    <w:rsid w:val="003139E5"/>
    <w:rsid w:val="003141C8"/>
    <w:rsid w:val="003168A4"/>
    <w:rsid w:val="00335A24"/>
    <w:rsid w:val="00340EEF"/>
    <w:rsid w:val="00342CCB"/>
    <w:rsid w:val="00357F1F"/>
    <w:rsid w:val="0036330F"/>
    <w:rsid w:val="00370518"/>
    <w:rsid w:val="003725EB"/>
    <w:rsid w:val="0037547C"/>
    <w:rsid w:val="00375593"/>
    <w:rsid w:val="00375B16"/>
    <w:rsid w:val="00375D29"/>
    <w:rsid w:val="00380586"/>
    <w:rsid w:val="00380705"/>
    <w:rsid w:val="00381A1A"/>
    <w:rsid w:val="00382BD5"/>
    <w:rsid w:val="00391A7E"/>
    <w:rsid w:val="003A1AE6"/>
    <w:rsid w:val="003A1AEF"/>
    <w:rsid w:val="003A4C7E"/>
    <w:rsid w:val="003B0C40"/>
    <w:rsid w:val="003B1A3C"/>
    <w:rsid w:val="003B6AE5"/>
    <w:rsid w:val="003B6D4B"/>
    <w:rsid w:val="003C0D87"/>
    <w:rsid w:val="003C10C9"/>
    <w:rsid w:val="003C2008"/>
    <w:rsid w:val="003C7A08"/>
    <w:rsid w:val="003D090B"/>
    <w:rsid w:val="003D1294"/>
    <w:rsid w:val="003D207E"/>
    <w:rsid w:val="003D3EBE"/>
    <w:rsid w:val="003D56BF"/>
    <w:rsid w:val="003D7437"/>
    <w:rsid w:val="003E0733"/>
    <w:rsid w:val="003E2720"/>
    <w:rsid w:val="003E3424"/>
    <w:rsid w:val="003E60DC"/>
    <w:rsid w:val="003E6949"/>
    <w:rsid w:val="003E7BB6"/>
    <w:rsid w:val="003F1ECB"/>
    <w:rsid w:val="003F39C2"/>
    <w:rsid w:val="003F505F"/>
    <w:rsid w:val="003F7F8D"/>
    <w:rsid w:val="0040035B"/>
    <w:rsid w:val="00400A7D"/>
    <w:rsid w:val="004027EE"/>
    <w:rsid w:val="004058C3"/>
    <w:rsid w:val="004075D9"/>
    <w:rsid w:val="00407A25"/>
    <w:rsid w:val="00412F45"/>
    <w:rsid w:val="00414B79"/>
    <w:rsid w:val="00417A27"/>
    <w:rsid w:val="00420A38"/>
    <w:rsid w:val="00420C57"/>
    <w:rsid w:val="00421CF7"/>
    <w:rsid w:val="00421E9C"/>
    <w:rsid w:val="00422CFA"/>
    <w:rsid w:val="00422E6E"/>
    <w:rsid w:val="00423496"/>
    <w:rsid w:val="00423F96"/>
    <w:rsid w:val="004245A9"/>
    <w:rsid w:val="00425BF7"/>
    <w:rsid w:val="004323C7"/>
    <w:rsid w:val="004328EE"/>
    <w:rsid w:val="00435CBF"/>
    <w:rsid w:val="00437026"/>
    <w:rsid w:val="00444719"/>
    <w:rsid w:val="00445920"/>
    <w:rsid w:val="00446884"/>
    <w:rsid w:val="00450BBF"/>
    <w:rsid w:val="00462393"/>
    <w:rsid w:val="00463790"/>
    <w:rsid w:val="0046397B"/>
    <w:rsid w:val="00464F10"/>
    <w:rsid w:val="00465E0D"/>
    <w:rsid w:val="004677A8"/>
    <w:rsid w:val="00470A15"/>
    <w:rsid w:val="00473454"/>
    <w:rsid w:val="00474373"/>
    <w:rsid w:val="004745EA"/>
    <w:rsid w:val="00477E97"/>
    <w:rsid w:val="00483D8D"/>
    <w:rsid w:val="00484D83"/>
    <w:rsid w:val="00490E9F"/>
    <w:rsid w:val="00491200"/>
    <w:rsid w:val="00494089"/>
    <w:rsid w:val="00494240"/>
    <w:rsid w:val="004952B0"/>
    <w:rsid w:val="00496430"/>
    <w:rsid w:val="004A23E6"/>
    <w:rsid w:val="004A4BD5"/>
    <w:rsid w:val="004A5154"/>
    <w:rsid w:val="004B0CD0"/>
    <w:rsid w:val="004B1FD6"/>
    <w:rsid w:val="004B38C6"/>
    <w:rsid w:val="004B40BF"/>
    <w:rsid w:val="004B607F"/>
    <w:rsid w:val="004C0679"/>
    <w:rsid w:val="004C2206"/>
    <w:rsid w:val="004C2480"/>
    <w:rsid w:val="004C3B96"/>
    <w:rsid w:val="004C5C06"/>
    <w:rsid w:val="004C75C2"/>
    <w:rsid w:val="004D109B"/>
    <w:rsid w:val="004D3E73"/>
    <w:rsid w:val="004D4EEB"/>
    <w:rsid w:val="004E0C5B"/>
    <w:rsid w:val="004E16B3"/>
    <w:rsid w:val="004E33AC"/>
    <w:rsid w:val="004E3C4E"/>
    <w:rsid w:val="004E777D"/>
    <w:rsid w:val="004F1BDB"/>
    <w:rsid w:val="004F2256"/>
    <w:rsid w:val="004F5118"/>
    <w:rsid w:val="004F5D82"/>
    <w:rsid w:val="004F6CA9"/>
    <w:rsid w:val="004F7271"/>
    <w:rsid w:val="004F75EB"/>
    <w:rsid w:val="0050053C"/>
    <w:rsid w:val="00501A15"/>
    <w:rsid w:val="00504CD2"/>
    <w:rsid w:val="005050CC"/>
    <w:rsid w:val="005105BB"/>
    <w:rsid w:val="005144A1"/>
    <w:rsid w:val="00514530"/>
    <w:rsid w:val="00514EDC"/>
    <w:rsid w:val="0051562E"/>
    <w:rsid w:val="00520E1F"/>
    <w:rsid w:val="00523109"/>
    <w:rsid w:val="00523D7B"/>
    <w:rsid w:val="005278F5"/>
    <w:rsid w:val="00527AB3"/>
    <w:rsid w:val="00531FE7"/>
    <w:rsid w:val="0053759E"/>
    <w:rsid w:val="00537F12"/>
    <w:rsid w:val="005405A7"/>
    <w:rsid w:val="00546FE1"/>
    <w:rsid w:val="00551903"/>
    <w:rsid w:val="00553C57"/>
    <w:rsid w:val="005549ED"/>
    <w:rsid w:val="005553B8"/>
    <w:rsid w:val="00560983"/>
    <w:rsid w:val="00561B07"/>
    <w:rsid w:val="00563681"/>
    <w:rsid w:val="00564FB9"/>
    <w:rsid w:val="00565494"/>
    <w:rsid w:val="00565A5F"/>
    <w:rsid w:val="00571359"/>
    <w:rsid w:val="00571F1A"/>
    <w:rsid w:val="005727F6"/>
    <w:rsid w:val="00572EE9"/>
    <w:rsid w:val="00573608"/>
    <w:rsid w:val="00574F33"/>
    <w:rsid w:val="00574F95"/>
    <w:rsid w:val="00581FE7"/>
    <w:rsid w:val="005826A9"/>
    <w:rsid w:val="00586C6E"/>
    <w:rsid w:val="005923C4"/>
    <w:rsid w:val="00594846"/>
    <w:rsid w:val="00594D87"/>
    <w:rsid w:val="0059604A"/>
    <w:rsid w:val="005A2CF0"/>
    <w:rsid w:val="005A5D48"/>
    <w:rsid w:val="005B1FCA"/>
    <w:rsid w:val="005B4E2B"/>
    <w:rsid w:val="005B6D95"/>
    <w:rsid w:val="005B7591"/>
    <w:rsid w:val="005C084B"/>
    <w:rsid w:val="005C1732"/>
    <w:rsid w:val="005C42D8"/>
    <w:rsid w:val="005C7EAF"/>
    <w:rsid w:val="005D1C3E"/>
    <w:rsid w:val="005D3A6C"/>
    <w:rsid w:val="005D4BFE"/>
    <w:rsid w:val="005D515D"/>
    <w:rsid w:val="005D6E97"/>
    <w:rsid w:val="005D74DE"/>
    <w:rsid w:val="005E2554"/>
    <w:rsid w:val="005E2A7C"/>
    <w:rsid w:val="005E2E83"/>
    <w:rsid w:val="005E507A"/>
    <w:rsid w:val="005E5E7F"/>
    <w:rsid w:val="005E7BE2"/>
    <w:rsid w:val="005E7F49"/>
    <w:rsid w:val="005F0629"/>
    <w:rsid w:val="005F264A"/>
    <w:rsid w:val="005F312E"/>
    <w:rsid w:val="00601B72"/>
    <w:rsid w:val="00603919"/>
    <w:rsid w:val="00603F30"/>
    <w:rsid w:val="006041D5"/>
    <w:rsid w:val="006048AD"/>
    <w:rsid w:val="00607CE2"/>
    <w:rsid w:val="00610232"/>
    <w:rsid w:val="006106DF"/>
    <w:rsid w:val="0061564A"/>
    <w:rsid w:val="006179A7"/>
    <w:rsid w:val="00624209"/>
    <w:rsid w:val="00625FDF"/>
    <w:rsid w:val="006304D5"/>
    <w:rsid w:val="006306A2"/>
    <w:rsid w:val="00631664"/>
    <w:rsid w:val="0063253B"/>
    <w:rsid w:val="006406A8"/>
    <w:rsid w:val="00641F04"/>
    <w:rsid w:val="0064290B"/>
    <w:rsid w:val="0064378E"/>
    <w:rsid w:val="006447C9"/>
    <w:rsid w:val="00646E8A"/>
    <w:rsid w:val="006542EF"/>
    <w:rsid w:val="0065542A"/>
    <w:rsid w:val="00655ED9"/>
    <w:rsid w:val="00661F0F"/>
    <w:rsid w:val="0066350F"/>
    <w:rsid w:val="00663EF7"/>
    <w:rsid w:val="006653B2"/>
    <w:rsid w:val="00665C96"/>
    <w:rsid w:val="00676842"/>
    <w:rsid w:val="00676B56"/>
    <w:rsid w:val="00676D1A"/>
    <w:rsid w:val="00676E98"/>
    <w:rsid w:val="00677216"/>
    <w:rsid w:val="00680E6D"/>
    <w:rsid w:val="00681DF9"/>
    <w:rsid w:val="00682913"/>
    <w:rsid w:val="00685436"/>
    <w:rsid w:val="00690EBE"/>
    <w:rsid w:val="00694007"/>
    <w:rsid w:val="00695DFD"/>
    <w:rsid w:val="00696110"/>
    <w:rsid w:val="00696E51"/>
    <w:rsid w:val="006A04AD"/>
    <w:rsid w:val="006A12F6"/>
    <w:rsid w:val="006A2FF0"/>
    <w:rsid w:val="006B31B3"/>
    <w:rsid w:val="006C4293"/>
    <w:rsid w:val="006C4630"/>
    <w:rsid w:val="006C52E0"/>
    <w:rsid w:val="006C5C7F"/>
    <w:rsid w:val="006C6079"/>
    <w:rsid w:val="006C721F"/>
    <w:rsid w:val="006C7D32"/>
    <w:rsid w:val="006D0354"/>
    <w:rsid w:val="006D1A88"/>
    <w:rsid w:val="006D1BBA"/>
    <w:rsid w:val="006D5900"/>
    <w:rsid w:val="006D674D"/>
    <w:rsid w:val="006E30CF"/>
    <w:rsid w:val="006E58D3"/>
    <w:rsid w:val="006E5ACF"/>
    <w:rsid w:val="006E6146"/>
    <w:rsid w:val="006E63DF"/>
    <w:rsid w:val="006F324A"/>
    <w:rsid w:val="006F5B34"/>
    <w:rsid w:val="00700169"/>
    <w:rsid w:val="007010BE"/>
    <w:rsid w:val="007042FB"/>
    <w:rsid w:val="007047E2"/>
    <w:rsid w:val="00705040"/>
    <w:rsid w:val="007102CD"/>
    <w:rsid w:val="00710A27"/>
    <w:rsid w:val="00711918"/>
    <w:rsid w:val="00712793"/>
    <w:rsid w:val="00712905"/>
    <w:rsid w:val="007145C0"/>
    <w:rsid w:val="0071481B"/>
    <w:rsid w:val="007203C4"/>
    <w:rsid w:val="00720653"/>
    <w:rsid w:val="00722833"/>
    <w:rsid w:val="00725512"/>
    <w:rsid w:val="00726B8C"/>
    <w:rsid w:val="00727F8F"/>
    <w:rsid w:val="0073118F"/>
    <w:rsid w:val="00732921"/>
    <w:rsid w:val="00736D1B"/>
    <w:rsid w:val="0074129E"/>
    <w:rsid w:val="007449F1"/>
    <w:rsid w:val="0074619D"/>
    <w:rsid w:val="007466C8"/>
    <w:rsid w:val="00753923"/>
    <w:rsid w:val="00756AFE"/>
    <w:rsid w:val="007575D2"/>
    <w:rsid w:val="0076530D"/>
    <w:rsid w:val="00765F34"/>
    <w:rsid w:val="00766CEF"/>
    <w:rsid w:val="00776425"/>
    <w:rsid w:val="00785655"/>
    <w:rsid w:val="00787069"/>
    <w:rsid w:val="007874A5"/>
    <w:rsid w:val="00790662"/>
    <w:rsid w:val="0079405B"/>
    <w:rsid w:val="0079619D"/>
    <w:rsid w:val="007A1AE3"/>
    <w:rsid w:val="007B1327"/>
    <w:rsid w:val="007B6918"/>
    <w:rsid w:val="007C4558"/>
    <w:rsid w:val="007D1FFD"/>
    <w:rsid w:val="007D731B"/>
    <w:rsid w:val="007D78E4"/>
    <w:rsid w:val="007E2016"/>
    <w:rsid w:val="007E217A"/>
    <w:rsid w:val="007E2AA0"/>
    <w:rsid w:val="007E5292"/>
    <w:rsid w:val="007F6A40"/>
    <w:rsid w:val="007F7063"/>
    <w:rsid w:val="007F78D5"/>
    <w:rsid w:val="00800F25"/>
    <w:rsid w:val="008041DC"/>
    <w:rsid w:val="00807D0E"/>
    <w:rsid w:val="00814754"/>
    <w:rsid w:val="00816342"/>
    <w:rsid w:val="008165FE"/>
    <w:rsid w:val="00816688"/>
    <w:rsid w:val="008265C9"/>
    <w:rsid w:val="00833616"/>
    <w:rsid w:val="00835A7F"/>
    <w:rsid w:val="00837C95"/>
    <w:rsid w:val="00840FBB"/>
    <w:rsid w:val="00845EAE"/>
    <w:rsid w:val="00850DBB"/>
    <w:rsid w:val="00851A5C"/>
    <w:rsid w:val="0085365E"/>
    <w:rsid w:val="00854DE0"/>
    <w:rsid w:val="008557EA"/>
    <w:rsid w:val="00860A5D"/>
    <w:rsid w:val="00864516"/>
    <w:rsid w:val="0087110F"/>
    <w:rsid w:val="008719F9"/>
    <w:rsid w:val="0087358E"/>
    <w:rsid w:val="0087659D"/>
    <w:rsid w:val="00876835"/>
    <w:rsid w:val="00877694"/>
    <w:rsid w:val="00882EAE"/>
    <w:rsid w:val="00883A75"/>
    <w:rsid w:val="00884721"/>
    <w:rsid w:val="0088571E"/>
    <w:rsid w:val="00887236"/>
    <w:rsid w:val="00890761"/>
    <w:rsid w:val="00891D19"/>
    <w:rsid w:val="00894579"/>
    <w:rsid w:val="008955C4"/>
    <w:rsid w:val="008962AC"/>
    <w:rsid w:val="008A0119"/>
    <w:rsid w:val="008A1067"/>
    <w:rsid w:val="008A17BD"/>
    <w:rsid w:val="008B4239"/>
    <w:rsid w:val="008B50EE"/>
    <w:rsid w:val="008B5DE6"/>
    <w:rsid w:val="008B7ED2"/>
    <w:rsid w:val="008C0F82"/>
    <w:rsid w:val="008C2FCA"/>
    <w:rsid w:val="008C5C20"/>
    <w:rsid w:val="008C7948"/>
    <w:rsid w:val="008D00C9"/>
    <w:rsid w:val="008D2C75"/>
    <w:rsid w:val="008D38EC"/>
    <w:rsid w:val="008D3D9E"/>
    <w:rsid w:val="008D440F"/>
    <w:rsid w:val="008D4B0B"/>
    <w:rsid w:val="008D5CA8"/>
    <w:rsid w:val="008E1D5B"/>
    <w:rsid w:val="008E2D79"/>
    <w:rsid w:val="008E482C"/>
    <w:rsid w:val="008E4971"/>
    <w:rsid w:val="008E601A"/>
    <w:rsid w:val="008E630D"/>
    <w:rsid w:val="008F1900"/>
    <w:rsid w:val="008F19B7"/>
    <w:rsid w:val="008F2D9E"/>
    <w:rsid w:val="008F2E3A"/>
    <w:rsid w:val="008F6C00"/>
    <w:rsid w:val="008F7417"/>
    <w:rsid w:val="008F74C1"/>
    <w:rsid w:val="008F7776"/>
    <w:rsid w:val="008F7AE4"/>
    <w:rsid w:val="00900EFB"/>
    <w:rsid w:val="00916823"/>
    <w:rsid w:val="00921CC3"/>
    <w:rsid w:val="00923068"/>
    <w:rsid w:val="009239A4"/>
    <w:rsid w:val="00926F6D"/>
    <w:rsid w:val="00927BCF"/>
    <w:rsid w:val="0093011E"/>
    <w:rsid w:val="00931594"/>
    <w:rsid w:val="00931952"/>
    <w:rsid w:val="009332BF"/>
    <w:rsid w:val="0093614F"/>
    <w:rsid w:val="00936C7A"/>
    <w:rsid w:val="009376D7"/>
    <w:rsid w:val="009410A6"/>
    <w:rsid w:val="00942712"/>
    <w:rsid w:val="00944FFB"/>
    <w:rsid w:val="009464C4"/>
    <w:rsid w:val="00953170"/>
    <w:rsid w:val="009579A9"/>
    <w:rsid w:val="009643EA"/>
    <w:rsid w:val="009648E8"/>
    <w:rsid w:val="00964BD7"/>
    <w:rsid w:val="00965526"/>
    <w:rsid w:val="00975757"/>
    <w:rsid w:val="00975B5F"/>
    <w:rsid w:val="00976579"/>
    <w:rsid w:val="009828DE"/>
    <w:rsid w:val="00982CCA"/>
    <w:rsid w:val="00982D47"/>
    <w:rsid w:val="00983617"/>
    <w:rsid w:val="009868D6"/>
    <w:rsid w:val="009868D9"/>
    <w:rsid w:val="00990AE5"/>
    <w:rsid w:val="009928EA"/>
    <w:rsid w:val="00992E0B"/>
    <w:rsid w:val="00992EFB"/>
    <w:rsid w:val="009954AA"/>
    <w:rsid w:val="00995F4B"/>
    <w:rsid w:val="009A1447"/>
    <w:rsid w:val="009A1E45"/>
    <w:rsid w:val="009A1F54"/>
    <w:rsid w:val="009A57DE"/>
    <w:rsid w:val="009A7545"/>
    <w:rsid w:val="009B003B"/>
    <w:rsid w:val="009B17C7"/>
    <w:rsid w:val="009B2E41"/>
    <w:rsid w:val="009B5385"/>
    <w:rsid w:val="009C2E40"/>
    <w:rsid w:val="009C3859"/>
    <w:rsid w:val="009C4AF2"/>
    <w:rsid w:val="009C6BFD"/>
    <w:rsid w:val="009C71D3"/>
    <w:rsid w:val="009C7B88"/>
    <w:rsid w:val="009D35C2"/>
    <w:rsid w:val="009D625B"/>
    <w:rsid w:val="009E1A25"/>
    <w:rsid w:val="009E2491"/>
    <w:rsid w:val="009E5DAF"/>
    <w:rsid w:val="009E6725"/>
    <w:rsid w:val="009F383A"/>
    <w:rsid w:val="00A031E4"/>
    <w:rsid w:val="00A04E40"/>
    <w:rsid w:val="00A0599D"/>
    <w:rsid w:val="00A06A7D"/>
    <w:rsid w:val="00A1004B"/>
    <w:rsid w:val="00A10C8C"/>
    <w:rsid w:val="00A11901"/>
    <w:rsid w:val="00A13A8C"/>
    <w:rsid w:val="00A1421F"/>
    <w:rsid w:val="00A142D6"/>
    <w:rsid w:val="00A157B0"/>
    <w:rsid w:val="00A15BD4"/>
    <w:rsid w:val="00A20283"/>
    <w:rsid w:val="00A2160B"/>
    <w:rsid w:val="00A24F37"/>
    <w:rsid w:val="00A263C7"/>
    <w:rsid w:val="00A27632"/>
    <w:rsid w:val="00A30CB1"/>
    <w:rsid w:val="00A3155C"/>
    <w:rsid w:val="00A31578"/>
    <w:rsid w:val="00A34436"/>
    <w:rsid w:val="00A3446A"/>
    <w:rsid w:val="00A3539D"/>
    <w:rsid w:val="00A40A72"/>
    <w:rsid w:val="00A418F9"/>
    <w:rsid w:val="00A43643"/>
    <w:rsid w:val="00A45526"/>
    <w:rsid w:val="00A4758D"/>
    <w:rsid w:val="00A51622"/>
    <w:rsid w:val="00A53B41"/>
    <w:rsid w:val="00A54721"/>
    <w:rsid w:val="00A54CB3"/>
    <w:rsid w:val="00A60995"/>
    <w:rsid w:val="00A60F93"/>
    <w:rsid w:val="00A61A83"/>
    <w:rsid w:val="00A62C7F"/>
    <w:rsid w:val="00A6435D"/>
    <w:rsid w:val="00A643B1"/>
    <w:rsid w:val="00A656C8"/>
    <w:rsid w:val="00A67AD7"/>
    <w:rsid w:val="00A67C20"/>
    <w:rsid w:val="00A71565"/>
    <w:rsid w:val="00A72139"/>
    <w:rsid w:val="00A726F7"/>
    <w:rsid w:val="00A728FE"/>
    <w:rsid w:val="00A734FA"/>
    <w:rsid w:val="00A73D5B"/>
    <w:rsid w:val="00A74577"/>
    <w:rsid w:val="00A7787E"/>
    <w:rsid w:val="00A809C9"/>
    <w:rsid w:val="00A836C5"/>
    <w:rsid w:val="00A8470A"/>
    <w:rsid w:val="00A860CF"/>
    <w:rsid w:val="00A917E1"/>
    <w:rsid w:val="00A94AA3"/>
    <w:rsid w:val="00A95064"/>
    <w:rsid w:val="00A953B5"/>
    <w:rsid w:val="00AA3ABD"/>
    <w:rsid w:val="00AA62BD"/>
    <w:rsid w:val="00AC01EE"/>
    <w:rsid w:val="00AC0A88"/>
    <w:rsid w:val="00AC3426"/>
    <w:rsid w:val="00AC4686"/>
    <w:rsid w:val="00AD243E"/>
    <w:rsid w:val="00AD3E60"/>
    <w:rsid w:val="00AD3FAC"/>
    <w:rsid w:val="00AD5368"/>
    <w:rsid w:val="00AD569C"/>
    <w:rsid w:val="00AD76E0"/>
    <w:rsid w:val="00AD7771"/>
    <w:rsid w:val="00AE7CE9"/>
    <w:rsid w:val="00AF14CE"/>
    <w:rsid w:val="00AF1751"/>
    <w:rsid w:val="00AF1FB8"/>
    <w:rsid w:val="00AF43F4"/>
    <w:rsid w:val="00AF4F4C"/>
    <w:rsid w:val="00AF5632"/>
    <w:rsid w:val="00B001E5"/>
    <w:rsid w:val="00B04BC9"/>
    <w:rsid w:val="00B079CE"/>
    <w:rsid w:val="00B07E4D"/>
    <w:rsid w:val="00B12DE6"/>
    <w:rsid w:val="00B16F66"/>
    <w:rsid w:val="00B1796F"/>
    <w:rsid w:val="00B17A77"/>
    <w:rsid w:val="00B20463"/>
    <w:rsid w:val="00B209E4"/>
    <w:rsid w:val="00B20AA1"/>
    <w:rsid w:val="00B2188D"/>
    <w:rsid w:val="00B22D8A"/>
    <w:rsid w:val="00B2402A"/>
    <w:rsid w:val="00B25358"/>
    <w:rsid w:val="00B27ADE"/>
    <w:rsid w:val="00B30AAD"/>
    <w:rsid w:val="00B33894"/>
    <w:rsid w:val="00B34123"/>
    <w:rsid w:val="00B34D93"/>
    <w:rsid w:val="00B41908"/>
    <w:rsid w:val="00B42E16"/>
    <w:rsid w:val="00B46C1F"/>
    <w:rsid w:val="00B46D24"/>
    <w:rsid w:val="00B47AA0"/>
    <w:rsid w:val="00B51FC7"/>
    <w:rsid w:val="00B539BE"/>
    <w:rsid w:val="00B53D45"/>
    <w:rsid w:val="00B5682E"/>
    <w:rsid w:val="00B57A3B"/>
    <w:rsid w:val="00B60996"/>
    <w:rsid w:val="00B61ACC"/>
    <w:rsid w:val="00B62BBD"/>
    <w:rsid w:val="00B63880"/>
    <w:rsid w:val="00B66BD4"/>
    <w:rsid w:val="00B73680"/>
    <w:rsid w:val="00B75E35"/>
    <w:rsid w:val="00B76EC0"/>
    <w:rsid w:val="00B77E7E"/>
    <w:rsid w:val="00B828DA"/>
    <w:rsid w:val="00B83087"/>
    <w:rsid w:val="00B8313B"/>
    <w:rsid w:val="00B84B7A"/>
    <w:rsid w:val="00B85936"/>
    <w:rsid w:val="00B85DEA"/>
    <w:rsid w:val="00B913EE"/>
    <w:rsid w:val="00B915F3"/>
    <w:rsid w:val="00B916B3"/>
    <w:rsid w:val="00B923FE"/>
    <w:rsid w:val="00B92A09"/>
    <w:rsid w:val="00B94214"/>
    <w:rsid w:val="00BA23D2"/>
    <w:rsid w:val="00BA6D11"/>
    <w:rsid w:val="00BB180D"/>
    <w:rsid w:val="00BB6246"/>
    <w:rsid w:val="00BB6A45"/>
    <w:rsid w:val="00BB6A85"/>
    <w:rsid w:val="00BC6C5B"/>
    <w:rsid w:val="00BD077D"/>
    <w:rsid w:val="00BD3429"/>
    <w:rsid w:val="00BD37B3"/>
    <w:rsid w:val="00BD5360"/>
    <w:rsid w:val="00BE0742"/>
    <w:rsid w:val="00BE4317"/>
    <w:rsid w:val="00BE76F8"/>
    <w:rsid w:val="00BF650E"/>
    <w:rsid w:val="00C023DC"/>
    <w:rsid w:val="00C02D9F"/>
    <w:rsid w:val="00C07064"/>
    <w:rsid w:val="00C10288"/>
    <w:rsid w:val="00C1104E"/>
    <w:rsid w:val="00C1531B"/>
    <w:rsid w:val="00C24B4F"/>
    <w:rsid w:val="00C26DD7"/>
    <w:rsid w:val="00C30101"/>
    <w:rsid w:val="00C3247F"/>
    <w:rsid w:val="00C43D2E"/>
    <w:rsid w:val="00C45125"/>
    <w:rsid w:val="00C51722"/>
    <w:rsid w:val="00C527BA"/>
    <w:rsid w:val="00C57D5C"/>
    <w:rsid w:val="00C612EF"/>
    <w:rsid w:val="00C62955"/>
    <w:rsid w:val="00C6383A"/>
    <w:rsid w:val="00C65882"/>
    <w:rsid w:val="00C70598"/>
    <w:rsid w:val="00C7076A"/>
    <w:rsid w:val="00C720F3"/>
    <w:rsid w:val="00C80B63"/>
    <w:rsid w:val="00C839AD"/>
    <w:rsid w:val="00C87900"/>
    <w:rsid w:val="00C87B30"/>
    <w:rsid w:val="00C92219"/>
    <w:rsid w:val="00C975C6"/>
    <w:rsid w:val="00CA57B8"/>
    <w:rsid w:val="00CA59FA"/>
    <w:rsid w:val="00CB237A"/>
    <w:rsid w:val="00CB616D"/>
    <w:rsid w:val="00CC0191"/>
    <w:rsid w:val="00CC0B7D"/>
    <w:rsid w:val="00CC3987"/>
    <w:rsid w:val="00CC492E"/>
    <w:rsid w:val="00CD0E77"/>
    <w:rsid w:val="00CE145A"/>
    <w:rsid w:val="00CE1844"/>
    <w:rsid w:val="00CE1B59"/>
    <w:rsid w:val="00CE5067"/>
    <w:rsid w:val="00CE71C7"/>
    <w:rsid w:val="00CF5D0D"/>
    <w:rsid w:val="00CF6012"/>
    <w:rsid w:val="00D065B1"/>
    <w:rsid w:val="00D07E4C"/>
    <w:rsid w:val="00D10F43"/>
    <w:rsid w:val="00D115D1"/>
    <w:rsid w:val="00D11D67"/>
    <w:rsid w:val="00D14C55"/>
    <w:rsid w:val="00D1636E"/>
    <w:rsid w:val="00D1749D"/>
    <w:rsid w:val="00D22108"/>
    <w:rsid w:val="00D22805"/>
    <w:rsid w:val="00D27675"/>
    <w:rsid w:val="00D364A5"/>
    <w:rsid w:val="00D437D6"/>
    <w:rsid w:val="00D50363"/>
    <w:rsid w:val="00D51DA2"/>
    <w:rsid w:val="00D52D63"/>
    <w:rsid w:val="00D5336E"/>
    <w:rsid w:val="00D56ABE"/>
    <w:rsid w:val="00D72C76"/>
    <w:rsid w:val="00D75843"/>
    <w:rsid w:val="00D81CFB"/>
    <w:rsid w:val="00D83F0B"/>
    <w:rsid w:val="00D842C2"/>
    <w:rsid w:val="00D85D9A"/>
    <w:rsid w:val="00D85EFD"/>
    <w:rsid w:val="00D8692F"/>
    <w:rsid w:val="00D9232A"/>
    <w:rsid w:val="00D95BDD"/>
    <w:rsid w:val="00D95BE1"/>
    <w:rsid w:val="00D96984"/>
    <w:rsid w:val="00D96CD7"/>
    <w:rsid w:val="00DB2C9C"/>
    <w:rsid w:val="00DB5497"/>
    <w:rsid w:val="00DC0BC8"/>
    <w:rsid w:val="00DC23EE"/>
    <w:rsid w:val="00DC2EFB"/>
    <w:rsid w:val="00DC6D77"/>
    <w:rsid w:val="00DD0ED6"/>
    <w:rsid w:val="00DD11EE"/>
    <w:rsid w:val="00DD2731"/>
    <w:rsid w:val="00DE2C7B"/>
    <w:rsid w:val="00DE2DC8"/>
    <w:rsid w:val="00DE52AF"/>
    <w:rsid w:val="00DE6EAB"/>
    <w:rsid w:val="00DF18D6"/>
    <w:rsid w:val="00DF1D93"/>
    <w:rsid w:val="00DF35A2"/>
    <w:rsid w:val="00DF45CD"/>
    <w:rsid w:val="00DF5BFB"/>
    <w:rsid w:val="00DF7046"/>
    <w:rsid w:val="00E00AA7"/>
    <w:rsid w:val="00E048EE"/>
    <w:rsid w:val="00E04CE2"/>
    <w:rsid w:val="00E07D05"/>
    <w:rsid w:val="00E109F9"/>
    <w:rsid w:val="00E1341C"/>
    <w:rsid w:val="00E137B9"/>
    <w:rsid w:val="00E169EE"/>
    <w:rsid w:val="00E23A89"/>
    <w:rsid w:val="00E260BC"/>
    <w:rsid w:val="00E260E2"/>
    <w:rsid w:val="00E27DCE"/>
    <w:rsid w:val="00E307CC"/>
    <w:rsid w:val="00E3129F"/>
    <w:rsid w:val="00E352A9"/>
    <w:rsid w:val="00E37E4F"/>
    <w:rsid w:val="00E40814"/>
    <w:rsid w:val="00E43706"/>
    <w:rsid w:val="00E4573B"/>
    <w:rsid w:val="00E515EA"/>
    <w:rsid w:val="00E52FED"/>
    <w:rsid w:val="00E54495"/>
    <w:rsid w:val="00E56338"/>
    <w:rsid w:val="00E56559"/>
    <w:rsid w:val="00E5764E"/>
    <w:rsid w:val="00E60585"/>
    <w:rsid w:val="00E62AC4"/>
    <w:rsid w:val="00E647CB"/>
    <w:rsid w:val="00E67B39"/>
    <w:rsid w:val="00E713EA"/>
    <w:rsid w:val="00E71A3E"/>
    <w:rsid w:val="00E71DC8"/>
    <w:rsid w:val="00E77E44"/>
    <w:rsid w:val="00E80874"/>
    <w:rsid w:val="00E80C83"/>
    <w:rsid w:val="00E826CC"/>
    <w:rsid w:val="00E876AE"/>
    <w:rsid w:val="00E87C32"/>
    <w:rsid w:val="00E87F55"/>
    <w:rsid w:val="00E90AAF"/>
    <w:rsid w:val="00E944CC"/>
    <w:rsid w:val="00E96D2C"/>
    <w:rsid w:val="00EA02D5"/>
    <w:rsid w:val="00EA08E0"/>
    <w:rsid w:val="00EA0DDB"/>
    <w:rsid w:val="00EA1DE1"/>
    <w:rsid w:val="00EA5EF3"/>
    <w:rsid w:val="00EA69F7"/>
    <w:rsid w:val="00EA7398"/>
    <w:rsid w:val="00EA7C31"/>
    <w:rsid w:val="00EB39FD"/>
    <w:rsid w:val="00EB4845"/>
    <w:rsid w:val="00EB50DC"/>
    <w:rsid w:val="00EB670B"/>
    <w:rsid w:val="00EC1D61"/>
    <w:rsid w:val="00EC2FAD"/>
    <w:rsid w:val="00EC37E3"/>
    <w:rsid w:val="00EC3980"/>
    <w:rsid w:val="00EC41DD"/>
    <w:rsid w:val="00EC478E"/>
    <w:rsid w:val="00EC4AA0"/>
    <w:rsid w:val="00EC7E24"/>
    <w:rsid w:val="00ED166F"/>
    <w:rsid w:val="00ED2D13"/>
    <w:rsid w:val="00ED35D1"/>
    <w:rsid w:val="00ED41FC"/>
    <w:rsid w:val="00ED43B9"/>
    <w:rsid w:val="00EE01F1"/>
    <w:rsid w:val="00EE1AD9"/>
    <w:rsid w:val="00EE33F4"/>
    <w:rsid w:val="00EE44FE"/>
    <w:rsid w:val="00EE4AB7"/>
    <w:rsid w:val="00EE52AC"/>
    <w:rsid w:val="00EE6517"/>
    <w:rsid w:val="00EF3571"/>
    <w:rsid w:val="00EF7E2B"/>
    <w:rsid w:val="00F01BB4"/>
    <w:rsid w:val="00F02909"/>
    <w:rsid w:val="00F0552E"/>
    <w:rsid w:val="00F07169"/>
    <w:rsid w:val="00F125BE"/>
    <w:rsid w:val="00F228B8"/>
    <w:rsid w:val="00F247CB"/>
    <w:rsid w:val="00F24A05"/>
    <w:rsid w:val="00F24C1C"/>
    <w:rsid w:val="00F31F28"/>
    <w:rsid w:val="00F33CF0"/>
    <w:rsid w:val="00F351E8"/>
    <w:rsid w:val="00F366AC"/>
    <w:rsid w:val="00F40C30"/>
    <w:rsid w:val="00F41EAC"/>
    <w:rsid w:val="00F45746"/>
    <w:rsid w:val="00F46982"/>
    <w:rsid w:val="00F4746A"/>
    <w:rsid w:val="00F55614"/>
    <w:rsid w:val="00F559DC"/>
    <w:rsid w:val="00F602E3"/>
    <w:rsid w:val="00F70338"/>
    <w:rsid w:val="00F70EFC"/>
    <w:rsid w:val="00F724D7"/>
    <w:rsid w:val="00F732A9"/>
    <w:rsid w:val="00F7547D"/>
    <w:rsid w:val="00F76721"/>
    <w:rsid w:val="00F775CD"/>
    <w:rsid w:val="00F81AE9"/>
    <w:rsid w:val="00F81EE6"/>
    <w:rsid w:val="00F928CF"/>
    <w:rsid w:val="00F97E43"/>
    <w:rsid w:val="00FA3DA1"/>
    <w:rsid w:val="00FA5E2B"/>
    <w:rsid w:val="00FA61F7"/>
    <w:rsid w:val="00FA670C"/>
    <w:rsid w:val="00FA6E03"/>
    <w:rsid w:val="00FB1171"/>
    <w:rsid w:val="00FB5501"/>
    <w:rsid w:val="00FC243C"/>
    <w:rsid w:val="00FC56D6"/>
    <w:rsid w:val="00FC65D6"/>
    <w:rsid w:val="00FD4BBE"/>
    <w:rsid w:val="00FD5165"/>
    <w:rsid w:val="00FE287E"/>
    <w:rsid w:val="00FE2F17"/>
    <w:rsid w:val="00FF0436"/>
    <w:rsid w:val="00FF13E4"/>
    <w:rsid w:val="00FF1748"/>
    <w:rsid w:val="00FF20FE"/>
    <w:rsid w:val="00FF353F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35C7"/>
  <w15:chartTrackingRefBased/>
  <w15:docId w15:val="{B3BE6EF0-9307-4D8E-9DFA-6A946302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71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Heading3"/>
    <w:link w:val="Heading2Char"/>
    <w:uiPriority w:val="9"/>
    <w:qFormat/>
    <w:rsid w:val="007B1327"/>
    <w:pPr>
      <w:jc w:val="both"/>
      <w:outlineLvl w:val="1"/>
    </w:pPr>
    <w:rPr>
      <w:rFonts w:cs="Calibri"/>
      <w:color w:val="2683C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71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712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2712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417A27"/>
    <w:pPr>
      <w:numPr>
        <w:numId w:val="20"/>
      </w:numPr>
      <w:spacing w:line="256" w:lineRule="auto"/>
      <w:contextualSpacing/>
    </w:pPr>
    <w:rPr>
      <w:rFonts w:eastAsia="Times New Roman"/>
      <w:bCs/>
      <w:color w:val="auto"/>
      <w:sz w:val="22"/>
      <w:szCs w:val="22"/>
      <w:lang w:val="en-US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1327"/>
    <w:rPr>
      <w:rFonts w:asciiTheme="majorHAnsi" w:eastAsiaTheme="majorEastAsia" w:hAnsiTheme="majorHAnsi"/>
      <w:color w:val="2683C6" w:themeColor="accen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42712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942712"/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942712"/>
    <w:rPr>
      <w:b/>
      <w:bCs/>
    </w:rPr>
  </w:style>
  <w:style w:type="character" w:styleId="Emphasis">
    <w:name w:val="Emphasis"/>
    <w:basedOn w:val="DefaultParagraphFont"/>
    <w:uiPriority w:val="20"/>
    <w:qFormat/>
    <w:rsid w:val="00942712"/>
    <w:rPr>
      <w:i/>
      <w:iCs/>
    </w:rPr>
  </w:style>
  <w:style w:type="table" w:styleId="GridTable6ColourfulAccent5">
    <w:name w:val="Grid Table 6 Colorful Accent 5"/>
    <w:basedOn w:val="TableNormal"/>
    <w:uiPriority w:val="51"/>
    <w:rsid w:val="0094271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712"/>
    <w:rPr>
      <w:rFonts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712"/>
    <w:rPr>
      <w:rFonts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12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12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712"/>
    <w:pPr>
      <w:spacing w:line="240" w:lineRule="auto"/>
    </w:pPr>
    <w:rPr>
      <w:rFonts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712"/>
    <w:rPr>
      <w:rFonts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712"/>
    <w:rPr>
      <w:rFonts w:cstheme="minorBidi"/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712"/>
    <w:pPr>
      <w:spacing w:after="0" w:line="240" w:lineRule="auto"/>
    </w:pPr>
    <w:rPr>
      <w:rFonts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712"/>
    <w:rPr>
      <w:rFonts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712"/>
    <w:rPr>
      <w:vertAlign w:val="superscript"/>
    </w:rPr>
  </w:style>
  <w:style w:type="table" w:styleId="TableGrid">
    <w:name w:val="Table Grid"/>
    <w:basedOn w:val="TableNormal"/>
    <w:uiPriority w:val="39"/>
    <w:rsid w:val="0030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3052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styleId="NoSpacing">
    <w:name w:val="No Spacing"/>
    <w:uiPriority w:val="1"/>
    <w:qFormat/>
    <w:rsid w:val="007B132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96981627296587"/>
          <c:y val="0.18603248259860788"/>
          <c:w val="0.85847462817147857"/>
          <c:h val="0.669636626048194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callers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10 minutes and under</c:v>
                </c:pt>
                <c:pt idx="1">
                  <c:v>11-20 minutes</c:v>
                </c:pt>
                <c:pt idx="2">
                  <c:v>21-40 minutes</c:v>
                </c:pt>
                <c:pt idx="3">
                  <c:v>41-90 minutes</c:v>
                </c:pt>
                <c:pt idx="4">
                  <c:v>91 minutes and over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42291</c:v>
                </c:pt>
                <c:pt idx="1">
                  <c:v>39289</c:v>
                </c:pt>
                <c:pt idx="2">
                  <c:v>16691</c:v>
                </c:pt>
                <c:pt idx="3">
                  <c:v>3132</c:v>
                </c:pt>
                <c:pt idx="4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D9-43DB-BFA5-5BADB20457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4550831"/>
        <c:axId val="2104553711"/>
      </c:barChart>
      <c:catAx>
        <c:axId val="2104550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4553711"/>
        <c:crosses val="autoZero"/>
        <c:auto val="1"/>
        <c:lblAlgn val="ctr"/>
        <c:lblOffset val="100"/>
        <c:noMultiLvlLbl val="0"/>
      </c:catAx>
      <c:valAx>
        <c:axId val="2104553711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4550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5" ma:contentTypeDescription="Create a new document for eDocs" ma:contentTypeScope="" ma:versionID="f5968d7d951fc31c9ae2b695a2df219e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bc22b9dd1081b9b9163c5aa3be18f164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13b0a387-28e5-4d0e-ba93-bfbfb7bc32d7" ma:fieldId="{6bbd3faf-a5ab-4e5e-b8a6-a5e099cef439}" ma:sspId="d0d6d11a-6141-46f1-a85a-6babb2177756" ma:termSetId="db6ecfed-f642-4316-baf3-3abe4cabc4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SecurityClassification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13b0a387-28e5-4d0e-ba93-bfbfb7bc32d7</TermId>
        </TermInfo>
      </Terms>
    </eDocs_SecurityClassification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2BA8-A7E9-4201-A4B5-6E13A5AC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5D32A-2018-41A0-B8EE-F5BE25D44CC9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3.xml><?xml version="1.0" encoding="utf-8"?>
<ds:datastoreItem xmlns:ds="http://schemas.openxmlformats.org/officeDocument/2006/customXml" ds:itemID="{7FBE116A-7454-43B9-AF0E-CC1D42612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396F3-B46B-48D8-892B-D9B5C9C9F7E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2B89BCC-C753-4F69-8C37-E44A31E4EE3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08D1EC9-2651-493D-A243-FD78A314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O’Connor</dc:creator>
  <cp:keywords/>
  <dc:description/>
  <cp:lastModifiedBy>Rose Morris</cp:lastModifiedBy>
  <cp:revision>2</cp:revision>
  <cp:lastPrinted>2024-11-07T11:52:00Z</cp:lastPrinted>
  <dcterms:created xsi:type="dcterms:W3CDTF">2024-11-12T12:43:00Z</dcterms:created>
  <dcterms:modified xsi:type="dcterms:W3CDTF">2024-11-12T12:43:00Z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SecurityClassification">
    <vt:lpwstr>1;#Unclassified|13b0a387-28e5-4d0e-ba93-bfbfb7bc32d7</vt:lpwstr>
  </property>
  <property fmtid="{D5CDD505-2E9C-101B-9397-08002B2CF9AE}" pid="5" name="eDocs_DocumentTopics">
    <vt:lpwstr/>
  </property>
  <property fmtid="{D5CDD505-2E9C-101B-9397-08002B2CF9AE}" pid="6" name="eDocs_Year">
    <vt:lpwstr>3;#2021|0e846ee2-68d6-4f7d-bff6-25a86a327e82</vt:lpwstr>
  </property>
  <property fmtid="{D5CDD505-2E9C-101B-9397-08002B2CF9AE}" pid="7" name="eDocs_SeriesSubSeries">
    <vt:lpwstr>4;#042|3c96f07b-1152-4d2e-8a69-d6b60d1fab17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