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1EAF" w14:textId="71E023A6" w:rsidR="00B60276" w:rsidRPr="00104174" w:rsidRDefault="00B60276" w:rsidP="00B60276">
      <w:pPr>
        <w:pStyle w:val="Heading1"/>
        <w:rPr>
          <w:sz w:val="44"/>
          <w:szCs w:val="44"/>
        </w:rPr>
      </w:pPr>
      <w:r w:rsidRPr="00104174">
        <w:rPr>
          <w:sz w:val="44"/>
          <w:szCs w:val="44"/>
        </w:rPr>
        <w:t>Citizens Information Services (CIS</w:t>
      </w:r>
      <w:r w:rsidR="00352248" w:rsidRPr="00104174">
        <w:rPr>
          <w:sz w:val="44"/>
          <w:szCs w:val="44"/>
        </w:rPr>
        <w:t>s</w:t>
      </w:r>
      <w:r w:rsidRPr="00104174">
        <w:rPr>
          <w:sz w:val="44"/>
          <w:szCs w:val="44"/>
        </w:rPr>
        <w:t>) – Caller/Query Data</w:t>
      </w:r>
    </w:p>
    <w:p w14:paraId="6F86E003" w14:textId="23CB5B64" w:rsidR="00B60276" w:rsidRPr="00104174" w:rsidRDefault="00B60276" w:rsidP="00B60276">
      <w:pPr>
        <w:pStyle w:val="Heading1"/>
        <w:rPr>
          <w:sz w:val="44"/>
          <w:szCs w:val="44"/>
        </w:rPr>
      </w:pPr>
      <w:r w:rsidRPr="00104174">
        <w:rPr>
          <w:sz w:val="44"/>
          <w:szCs w:val="44"/>
        </w:rPr>
        <w:t>St</w:t>
      </w:r>
      <w:r w:rsidR="00874F43" w:rsidRPr="00104174">
        <w:rPr>
          <w:sz w:val="44"/>
          <w:szCs w:val="44"/>
        </w:rPr>
        <w:t xml:space="preserve">atistical Summary Quarter </w:t>
      </w:r>
      <w:r w:rsidR="00214600" w:rsidRPr="00104174">
        <w:rPr>
          <w:sz w:val="44"/>
          <w:szCs w:val="44"/>
        </w:rPr>
        <w:t>2</w:t>
      </w:r>
      <w:r w:rsidR="00874F43" w:rsidRPr="00104174">
        <w:rPr>
          <w:sz w:val="44"/>
          <w:szCs w:val="44"/>
        </w:rPr>
        <w:t xml:space="preserve"> 202</w:t>
      </w:r>
      <w:r w:rsidR="00BE6F8E" w:rsidRPr="00104174">
        <w:rPr>
          <w:sz w:val="44"/>
          <w:szCs w:val="44"/>
        </w:rPr>
        <w:t>4</w:t>
      </w:r>
      <w:r w:rsidRPr="00104174">
        <w:rPr>
          <w:sz w:val="44"/>
          <w:szCs w:val="44"/>
        </w:rPr>
        <w:t xml:space="preserve"> </w:t>
      </w:r>
    </w:p>
    <w:p w14:paraId="6FA65638" w14:textId="488E9312" w:rsidR="009866CB" w:rsidRPr="00104174" w:rsidRDefault="009866CB" w:rsidP="00C178D7">
      <w:pPr>
        <w:ind w:right="-613"/>
        <w:rPr>
          <w:rFonts w:ascii="Calibri" w:eastAsiaTheme="majorEastAsia" w:hAnsi="Calibri" w:cs="Calibri"/>
        </w:rPr>
      </w:pPr>
      <w:r w:rsidRPr="00104174">
        <w:rPr>
          <w:rFonts w:ascii="Calibri" w:eastAsiaTheme="majorEastAsia" w:hAnsi="Calibri" w:cs="Calibri"/>
        </w:rPr>
        <w:t>The following is a statistical summary of CISs caller and query data for Quarter 2, 1st April – 30th June 202</w:t>
      </w:r>
      <w:r w:rsidR="00BE6F8E" w:rsidRPr="00104174">
        <w:rPr>
          <w:rFonts w:ascii="Calibri" w:eastAsiaTheme="majorEastAsia" w:hAnsi="Calibri" w:cs="Calibri"/>
        </w:rPr>
        <w:t>4</w:t>
      </w:r>
      <w:r w:rsidRPr="00104174">
        <w:rPr>
          <w:rFonts w:ascii="Calibri" w:eastAsiaTheme="majorEastAsia" w:hAnsi="Calibri" w:cs="Calibri"/>
        </w:rPr>
        <w:t xml:space="preserve">. </w:t>
      </w:r>
    </w:p>
    <w:p w14:paraId="22FD95CE" w14:textId="77777777" w:rsidR="00B60276" w:rsidRPr="00104174" w:rsidRDefault="00B60276" w:rsidP="00B60276">
      <w:pPr>
        <w:pStyle w:val="Heading1"/>
        <w:rPr>
          <w:sz w:val="28"/>
          <w:szCs w:val="28"/>
        </w:rPr>
      </w:pPr>
      <w:r w:rsidRPr="00104174">
        <w:rPr>
          <w:sz w:val="28"/>
          <w:szCs w:val="28"/>
        </w:rPr>
        <w:t>Caller Summary</w:t>
      </w:r>
    </w:p>
    <w:p w14:paraId="28B00EA5" w14:textId="77777777" w:rsidR="00A06E28" w:rsidRDefault="009866CB" w:rsidP="009866CB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104174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Pr="00104174">
        <w:rPr>
          <w:rFonts w:ascii="Calibri" w:hAnsi="Calibri" w:cs="Calibri"/>
          <w:b/>
          <w:color w:val="auto"/>
          <w:sz w:val="22"/>
          <w:szCs w:val="22"/>
        </w:rPr>
        <w:t>9</w:t>
      </w:r>
      <w:r w:rsidR="00BE6F8E" w:rsidRPr="00104174">
        <w:rPr>
          <w:rFonts w:ascii="Calibri" w:hAnsi="Calibri" w:cs="Calibri"/>
          <w:b/>
          <w:color w:val="auto"/>
          <w:sz w:val="22"/>
          <w:szCs w:val="22"/>
        </w:rPr>
        <w:t>9</w:t>
      </w:r>
      <w:r w:rsidRPr="00104174">
        <w:rPr>
          <w:rFonts w:ascii="Calibri" w:hAnsi="Calibri" w:cs="Calibri"/>
          <w:b/>
          <w:color w:val="auto"/>
          <w:sz w:val="22"/>
          <w:szCs w:val="22"/>
        </w:rPr>
        <w:t>,</w:t>
      </w:r>
      <w:r w:rsidR="00BE6F8E" w:rsidRPr="00104174">
        <w:rPr>
          <w:rFonts w:ascii="Calibri" w:hAnsi="Calibri" w:cs="Calibri"/>
          <w:b/>
          <w:color w:val="auto"/>
          <w:sz w:val="22"/>
          <w:szCs w:val="22"/>
        </w:rPr>
        <w:t>181</w:t>
      </w:r>
      <w:r w:rsidRPr="00104174">
        <w:rPr>
          <w:rFonts w:ascii="Calibri" w:hAnsi="Calibri" w:cs="Calibri"/>
          <w:color w:val="auto"/>
          <w:sz w:val="22"/>
          <w:szCs w:val="22"/>
        </w:rPr>
        <w:t xml:space="preserve"> callers to CISs nationally during Q2, 202</w:t>
      </w:r>
      <w:r w:rsidR="00BE6F8E" w:rsidRPr="00104174">
        <w:rPr>
          <w:rFonts w:ascii="Calibri" w:hAnsi="Calibri" w:cs="Calibri"/>
          <w:color w:val="auto"/>
          <w:sz w:val="22"/>
          <w:szCs w:val="22"/>
        </w:rPr>
        <w:t>4</w:t>
      </w:r>
      <w:r w:rsidRPr="00104174">
        <w:rPr>
          <w:rFonts w:ascii="Calibri" w:hAnsi="Calibri" w:cs="Calibri"/>
          <w:color w:val="auto"/>
          <w:sz w:val="22"/>
          <w:szCs w:val="22"/>
        </w:rPr>
        <w:t>,</w:t>
      </w:r>
      <w:r w:rsidR="00BE6F8E" w:rsidRPr="00104174">
        <w:rPr>
          <w:rFonts w:ascii="Calibri" w:hAnsi="Calibri" w:cs="Calibri"/>
          <w:color w:val="auto"/>
          <w:sz w:val="22"/>
          <w:szCs w:val="22"/>
        </w:rPr>
        <w:t xml:space="preserve"> a 3.7% increase on the number of callers from Q2 20</w:t>
      </w:r>
      <w:r w:rsidR="00E2403E" w:rsidRPr="00104174">
        <w:rPr>
          <w:rFonts w:ascii="Calibri" w:hAnsi="Calibri" w:cs="Calibri"/>
          <w:color w:val="auto"/>
          <w:sz w:val="22"/>
          <w:szCs w:val="22"/>
        </w:rPr>
        <w:t>23</w:t>
      </w:r>
      <w:r w:rsidR="00A06E28">
        <w:rPr>
          <w:rFonts w:ascii="Calibri" w:hAnsi="Calibri" w:cs="Calibri"/>
          <w:color w:val="auto"/>
          <w:sz w:val="22"/>
          <w:szCs w:val="22"/>
        </w:rPr>
        <w:t xml:space="preserve"> (95,678 calls)</w:t>
      </w:r>
      <w:r w:rsidRPr="00104174">
        <w:rPr>
          <w:rFonts w:ascii="Calibri" w:hAnsi="Calibri" w:cs="Calibri"/>
          <w:color w:val="auto"/>
          <w:sz w:val="22"/>
          <w:szCs w:val="22"/>
        </w:rPr>
        <w:t>.</w:t>
      </w:r>
      <w:r w:rsidR="008023D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EC9AE86" w14:textId="26C63DF4" w:rsidR="009866CB" w:rsidRPr="00104174" w:rsidRDefault="009866CB" w:rsidP="009866CB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10417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178D7" w:rsidRPr="00104174">
        <w:rPr>
          <w:rFonts w:ascii="Calibri" w:hAnsi="Calibri" w:cs="Calibri"/>
          <w:color w:val="auto"/>
          <w:sz w:val="22"/>
          <w:szCs w:val="22"/>
        </w:rPr>
        <w:t xml:space="preserve">The majority of </w:t>
      </w:r>
      <w:r w:rsidRPr="00104174">
        <w:rPr>
          <w:rFonts w:ascii="Calibri" w:hAnsi="Calibri" w:cs="Calibri"/>
          <w:color w:val="auto"/>
          <w:sz w:val="22"/>
          <w:szCs w:val="22"/>
        </w:rPr>
        <w:t>callers in Q2 202</w:t>
      </w:r>
      <w:r w:rsidR="00E2403E" w:rsidRPr="00104174">
        <w:rPr>
          <w:rFonts w:ascii="Calibri" w:hAnsi="Calibri" w:cs="Calibri"/>
          <w:color w:val="auto"/>
          <w:sz w:val="22"/>
          <w:szCs w:val="22"/>
        </w:rPr>
        <w:t>4</w:t>
      </w:r>
      <w:r w:rsidRPr="00104174">
        <w:rPr>
          <w:rFonts w:ascii="Calibri" w:hAnsi="Calibri" w:cs="Calibri"/>
          <w:color w:val="auto"/>
          <w:sz w:val="22"/>
          <w:szCs w:val="22"/>
        </w:rPr>
        <w:t xml:space="preserve"> were female (5</w:t>
      </w:r>
      <w:r w:rsidR="00E2403E" w:rsidRPr="00104174">
        <w:rPr>
          <w:rFonts w:ascii="Calibri" w:hAnsi="Calibri" w:cs="Calibri"/>
          <w:color w:val="auto"/>
          <w:sz w:val="22"/>
          <w:szCs w:val="22"/>
        </w:rPr>
        <w:t>5.9</w:t>
      </w:r>
      <w:r w:rsidRPr="00104174">
        <w:rPr>
          <w:rFonts w:ascii="Calibri" w:hAnsi="Calibri" w:cs="Calibri"/>
          <w:color w:val="auto"/>
          <w:sz w:val="22"/>
          <w:szCs w:val="22"/>
        </w:rPr>
        <w:t xml:space="preserve">%). </w:t>
      </w:r>
      <w:r w:rsidR="00E004E5">
        <w:rPr>
          <w:rFonts w:ascii="Calibri" w:hAnsi="Calibri" w:cs="Calibri"/>
          <w:color w:val="auto"/>
          <w:sz w:val="22"/>
          <w:szCs w:val="22"/>
        </w:rPr>
        <w:t>The introduction of family members to the couple</w:t>
      </w:r>
      <w:r w:rsidR="00A06E28">
        <w:rPr>
          <w:rFonts w:ascii="Calibri" w:hAnsi="Calibri" w:cs="Calibri"/>
          <w:color w:val="auto"/>
          <w:sz w:val="22"/>
          <w:szCs w:val="22"/>
        </w:rPr>
        <w:t>s</w:t>
      </w:r>
      <w:r w:rsidR="00203045">
        <w:rPr>
          <w:rFonts w:ascii="Calibri" w:hAnsi="Calibri" w:cs="Calibri"/>
          <w:color w:val="auto"/>
          <w:sz w:val="22"/>
          <w:szCs w:val="22"/>
        </w:rPr>
        <w:t>/ family</w:t>
      </w:r>
      <w:r w:rsidR="00A06E28">
        <w:rPr>
          <w:rFonts w:ascii="Calibri" w:hAnsi="Calibri" w:cs="Calibri"/>
          <w:color w:val="auto"/>
          <w:sz w:val="22"/>
          <w:szCs w:val="22"/>
        </w:rPr>
        <w:t xml:space="preserve"> members</w:t>
      </w:r>
      <w:r w:rsidR="00E004E5">
        <w:rPr>
          <w:rFonts w:ascii="Calibri" w:hAnsi="Calibri" w:cs="Calibri"/>
          <w:color w:val="auto"/>
          <w:sz w:val="22"/>
          <w:szCs w:val="22"/>
        </w:rPr>
        <w:t xml:space="preserve"> category has seen an increase in their numbers with a small </w:t>
      </w:r>
      <w:r w:rsidR="007C3077">
        <w:rPr>
          <w:rFonts w:ascii="Calibri" w:hAnsi="Calibri" w:cs="Calibri"/>
          <w:color w:val="auto"/>
          <w:sz w:val="22"/>
          <w:szCs w:val="22"/>
        </w:rPr>
        <w:t>decline</w:t>
      </w:r>
      <w:r w:rsidR="00E004E5">
        <w:rPr>
          <w:rFonts w:ascii="Calibri" w:hAnsi="Calibri" w:cs="Calibri"/>
          <w:color w:val="auto"/>
          <w:sz w:val="22"/>
          <w:szCs w:val="22"/>
        </w:rPr>
        <w:t xml:space="preserve"> in others.</w:t>
      </w:r>
    </w:p>
    <w:p w14:paraId="0D4784C1" w14:textId="4ABBCD02" w:rsidR="00E23A75" w:rsidRPr="00104174" w:rsidRDefault="00B60276" w:rsidP="00E23A75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104174">
        <w:rPr>
          <w:rFonts w:eastAsia="Times New Roman"/>
          <w:b/>
          <w:sz w:val="24"/>
          <w:szCs w:val="24"/>
          <w:lang w:eastAsia="en-IE"/>
        </w:rPr>
        <w:t xml:space="preserve">Table 1 – Caller Gender Profile </w:t>
      </w:r>
    </w:p>
    <w:tbl>
      <w:tblPr>
        <w:tblW w:w="9579" w:type="dxa"/>
        <w:tblLook w:val="04A0" w:firstRow="1" w:lastRow="0" w:firstColumn="1" w:lastColumn="0" w:noHBand="0" w:noVBand="1"/>
      </w:tblPr>
      <w:tblGrid>
        <w:gridCol w:w="2684"/>
        <w:gridCol w:w="1975"/>
        <w:gridCol w:w="2460"/>
        <w:gridCol w:w="2460"/>
      </w:tblGrid>
      <w:tr w:rsidR="00C216DE" w:rsidRPr="00104174" w14:paraId="4416EB4D" w14:textId="60AE74F1" w:rsidTr="00C216DE">
        <w:trPr>
          <w:trHeight w:val="323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1EBA8F58" w14:textId="77777777" w:rsidR="00C216DE" w:rsidRPr="00104174" w:rsidRDefault="00C216DE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197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7619F563" w14:textId="77777777" w:rsidR="00C216DE" w:rsidRPr="00104174" w:rsidRDefault="00C216D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E7CFAC" w14:textId="77777777" w:rsidR="00C216DE" w:rsidRPr="00104174" w:rsidRDefault="00C216D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</w:tcPr>
          <w:p w14:paraId="1FC91BC4" w14:textId="3478DC6B" w:rsidR="00C216DE" w:rsidRPr="00104174" w:rsidRDefault="00C216DE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Change Q2 ’23 – Q2 ‘24</w:t>
            </w:r>
          </w:p>
        </w:tc>
      </w:tr>
      <w:tr w:rsidR="00C216DE" w:rsidRPr="00104174" w14:paraId="0AEA708B" w14:textId="013AFC5C" w:rsidTr="00C216DE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4DBF71" w14:textId="77777777" w:rsidR="00C216DE" w:rsidRPr="00104174" w:rsidRDefault="00C216DE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Female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7B61D0E" w14:textId="7A8BA86E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55,392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3085751C" w14:textId="49D2110B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55.9%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4EEFF3D8" w14:textId="3E909F28" w:rsidR="00C216DE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-1.4%</w:t>
            </w:r>
          </w:p>
        </w:tc>
      </w:tr>
      <w:tr w:rsidR="00C216DE" w:rsidRPr="00104174" w14:paraId="7BADF2ED" w14:textId="666A7591" w:rsidTr="00C216DE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EEC2EE7" w14:textId="77777777" w:rsidR="00C216DE" w:rsidRPr="00104174" w:rsidRDefault="00C216DE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25D04CC7" w14:textId="3A50DD73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37,163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31E479C" w14:textId="10E7C791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37.5%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1D2D27A6" w14:textId="0E4199DC" w:rsidR="00C216DE" w:rsidRPr="00104174" w:rsidRDefault="00A06E28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</w:t>
            </w:r>
            <w:r w:rsidR="00E004E5">
              <w:rPr>
                <w:rFonts w:ascii="Calibri" w:eastAsia="Times New Roman" w:hAnsi="Calibri" w:cs="Calibri"/>
                <w:color w:val="000000"/>
                <w:lang w:eastAsia="en-IE"/>
              </w:rPr>
              <w:t>5.7%</w:t>
            </w:r>
          </w:p>
        </w:tc>
      </w:tr>
      <w:tr w:rsidR="00C216DE" w:rsidRPr="00104174" w14:paraId="483AB3EB" w14:textId="6856DB53" w:rsidTr="00C216DE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4D6455" w14:textId="5CE8C15A" w:rsidR="00C216DE" w:rsidRPr="00104174" w:rsidRDefault="00C216DE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Couples/ Family Members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30F02FF" w14:textId="59DCE97E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6,185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31F2BC9D" w14:textId="2BAE18A3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6.2%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6728FF0E" w14:textId="0A196268" w:rsidR="00C216DE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+54.9%</w:t>
            </w:r>
          </w:p>
        </w:tc>
      </w:tr>
      <w:tr w:rsidR="00C216DE" w:rsidRPr="00104174" w14:paraId="2ED8A643" w14:textId="2ACD9840" w:rsidTr="00C216DE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1512E5" w14:textId="77777777" w:rsidR="00C216DE" w:rsidRPr="00104174" w:rsidRDefault="00C216DE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Unknown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36828A79" w14:textId="72A61236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441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9070F09" w14:textId="2A85FF47" w:rsidR="00C216DE" w:rsidRPr="00104174" w:rsidRDefault="00C216DE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0.4%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2C5692C3" w14:textId="605ABB05" w:rsidR="00C216DE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+27.1%</w:t>
            </w:r>
          </w:p>
        </w:tc>
      </w:tr>
    </w:tbl>
    <w:p w14:paraId="46FBA7F8" w14:textId="6218F3F2" w:rsidR="003433AB" w:rsidRPr="00104174" w:rsidRDefault="003433AB" w:rsidP="003433AB">
      <w:pPr>
        <w:rPr>
          <w:lang w:eastAsia="en-IE"/>
        </w:rPr>
      </w:pPr>
    </w:p>
    <w:p w14:paraId="266D671B" w14:textId="2D713741" w:rsidR="009F2932" w:rsidRPr="00104174" w:rsidRDefault="00C178D7" w:rsidP="00407318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104174">
        <w:rPr>
          <w:rFonts w:ascii="Calibri" w:hAnsi="Calibri" w:cs="Calibri"/>
          <w:color w:val="auto"/>
          <w:sz w:val="22"/>
          <w:szCs w:val="22"/>
        </w:rPr>
        <w:t>Caller’s a</w:t>
      </w:r>
      <w:r w:rsidR="00F21355" w:rsidRPr="00104174">
        <w:rPr>
          <w:rFonts w:ascii="Calibri" w:hAnsi="Calibri" w:cs="Calibri"/>
          <w:color w:val="auto"/>
          <w:sz w:val="22"/>
          <w:szCs w:val="22"/>
        </w:rPr>
        <w:t>ge was recorded</w:t>
      </w:r>
      <w:r w:rsidR="00C82B13" w:rsidRPr="00104174">
        <w:rPr>
          <w:rFonts w:ascii="Calibri" w:hAnsi="Calibri" w:cs="Calibri"/>
          <w:color w:val="auto"/>
          <w:sz w:val="22"/>
          <w:szCs w:val="22"/>
        </w:rPr>
        <w:t xml:space="preserve"> for </w:t>
      </w:r>
      <w:r w:rsidR="00F21355" w:rsidRPr="00104174">
        <w:rPr>
          <w:rFonts w:ascii="Calibri" w:hAnsi="Calibri" w:cs="Calibri"/>
          <w:color w:val="auto"/>
          <w:sz w:val="22"/>
          <w:szCs w:val="22"/>
        </w:rPr>
        <w:t>6</w:t>
      </w:r>
      <w:r w:rsidR="00592C47" w:rsidRPr="00104174">
        <w:rPr>
          <w:rFonts w:ascii="Calibri" w:hAnsi="Calibri" w:cs="Calibri"/>
          <w:color w:val="auto"/>
          <w:sz w:val="22"/>
          <w:szCs w:val="22"/>
        </w:rPr>
        <w:t>9.</w:t>
      </w:r>
      <w:r w:rsidR="00C216DE">
        <w:rPr>
          <w:rFonts w:ascii="Calibri" w:hAnsi="Calibri" w:cs="Calibri"/>
          <w:color w:val="auto"/>
          <w:sz w:val="22"/>
          <w:szCs w:val="22"/>
        </w:rPr>
        <w:t>4</w:t>
      </w:r>
      <w:r w:rsidR="00A51866" w:rsidRPr="00104174">
        <w:rPr>
          <w:rFonts w:ascii="Calibri" w:hAnsi="Calibri" w:cs="Calibri"/>
          <w:color w:val="auto"/>
          <w:sz w:val="22"/>
          <w:szCs w:val="22"/>
        </w:rPr>
        <w:t>%</w:t>
      </w:r>
      <w:r w:rsidR="00C82B13" w:rsidRPr="00104174">
        <w:rPr>
          <w:rFonts w:ascii="Calibri" w:hAnsi="Calibri" w:cs="Calibri"/>
          <w:color w:val="auto"/>
          <w:sz w:val="22"/>
          <w:szCs w:val="22"/>
        </w:rPr>
        <w:t xml:space="preserve"> of </w:t>
      </w:r>
      <w:r w:rsidRPr="00104174">
        <w:rPr>
          <w:rFonts w:ascii="Calibri" w:hAnsi="Calibri" w:cs="Calibri"/>
          <w:color w:val="auto"/>
          <w:sz w:val="22"/>
          <w:szCs w:val="22"/>
        </w:rPr>
        <w:t>calls</w:t>
      </w:r>
      <w:r w:rsidR="0052127C" w:rsidRPr="00104174">
        <w:rPr>
          <w:rFonts w:ascii="Calibri" w:hAnsi="Calibri" w:cs="Calibri"/>
          <w:color w:val="auto"/>
          <w:sz w:val="22"/>
          <w:szCs w:val="22"/>
        </w:rPr>
        <w:t xml:space="preserve"> (6</w:t>
      </w:r>
      <w:r w:rsidR="00A06E28">
        <w:rPr>
          <w:rFonts w:ascii="Calibri" w:hAnsi="Calibri" w:cs="Calibri"/>
          <w:color w:val="auto"/>
          <w:sz w:val="22"/>
          <w:szCs w:val="22"/>
        </w:rPr>
        <w:t>8</w:t>
      </w:r>
      <w:r w:rsidR="0052127C" w:rsidRPr="00104174">
        <w:rPr>
          <w:rFonts w:ascii="Calibri" w:hAnsi="Calibri" w:cs="Calibri"/>
          <w:color w:val="auto"/>
          <w:sz w:val="22"/>
          <w:szCs w:val="22"/>
        </w:rPr>
        <w:t>,8</w:t>
      </w:r>
      <w:r w:rsidR="00592C47" w:rsidRPr="00104174">
        <w:rPr>
          <w:rFonts w:ascii="Calibri" w:hAnsi="Calibri" w:cs="Calibri"/>
          <w:color w:val="auto"/>
          <w:sz w:val="22"/>
          <w:szCs w:val="22"/>
        </w:rPr>
        <w:t>11</w:t>
      </w:r>
      <w:r w:rsidR="0052127C" w:rsidRPr="00104174">
        <w:rPr>
          <w:rFonts w:ascii="Calibri" w:hAnsi="Calibri" w:cs="Calibri"/>
          <w:color w:val="auto"/>
          <w:sz w:val="22"/>
          <w:szCs w:val="22"/>
        </w:rPr>
        <w:t xml:space="preserve"> calls)</w:t>
      </w:r>
      <w:r w:rsidR="006152A4" w:rsidRPr="00104174">
        <w:rPr>
          <w:rFonts w:ascii="Calibri" w:hAnsi="Calibri" w:cs="Calibri"/>
          <w:color w:val="auto"/>
          <w:sz w:val="22"/>
          <w:szCs w:val="22"/>
        </w:rPr>
        <w:t>.</w:t>
      </w:r>
      <w:r w:rsidR="00C82B13" w:rsidRPr="0010417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5687D" w:rsidRPr="00104174">
        <w:rPr>
          <w:rFonts w:ascii="Calibri" w:hAnsi="Calibri" w:cs="Calibri"/>
          <w:color w:val="auto"/>
          <w:sz w:val="22"/>
          <w:szCs w:val="22"/>
        </w:rPr>
        <w:t>Callers in t</w:t>
      </w:r>
      <w:r w:rsidRPr="00104174">
        <w:rPr>
          <w:rFonts w:ascii="Calibri" w:hAnsi="Calibri" w:cs="Calibri"/>
          <w:color w:val="auto"/>
          <w:sz w:val="22"/>
          <w:szCs w:val="22"/>
        </w:rPr>
        <w:t xml:space="preserve">he 26-45 age bracket contacted CISs most frequently, </w:t>
      </w:r>
      <w:r w:rsidR="00A05BFC" w:rsidRPr="00104174">
        <w:rPr>
          <w:rFonts w:ascii="Calibri" w:hAnsi="Calibri" w:cs="Calibri"/>
          <w:color w:val="auto"/>
          <w:sz w:val="22"/>
          <w:szCs w:val="22"/>
        </w:rPr>
        <w:t>followed by the</w:t>
      </w:r>
      <w:r w:rsidRPr="00104174">
        <w:rPr>
          <w:rFonts w:ascii="Calibri" w:hAnsi="Calibri" w:cs="Calibri"/>
          <w:color w:val="auto"/>
          <w:sz w:val="22"/>
          <w:szCs w:val="22"/>
        </w:rPr>
        <w:t xml:space="preserve"> 46-65 age bracket</w:t>
      </w:r>
      <w:r w:rsidR="00A05BFC" w:rsidRPr="00104174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22468D">
        <w:rPr>
          <w:rFonts w:ascii="Calibri" w:hAnsi="Calibri" w:cs="Calibri"/>
          <w:color w:val="auto"/>
          <w:sz w:val="22"/>
          <w:szCs w:val="22"/>
        </w:rPr>
        <w:t>The</w:t>
      </w:r>
      <w:r w:rsidR="008624E2">
        <w:rPr>
          <w:rFonts w:ascii="Calibri" w:hAnsi="Calibri" w:cs="Calibri"/>
          <w:color w:val="auto"/>
          <w:sz w:val="22"/>
          <w:szCs w:val="22"/>
        </w:rPr>
        <w:t xml:space="preserve"> number of</w:t>
      </w:r>
      <w:r w:rsidR="0022468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624E2">
        <w:rPr>
          <w:rFonts w:ascii="Calibri" w:hAnsi="Calibri" w:cs="Calibri"/>
          <w:color w:val="auto"/>
          <w:sz w:val="22"/>
          <w:szCs w:val="22"/>
        </w:rPr>
        <w:t>25</w:t>
      </w:r>
      <w:r w:rsidR="007C4F3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624E2">
        <w:rPr>
          <w:rFonts w:ascii="Calibri" w:hAnsi="Calibri" w:cs="Calibri"/>
          <w:color w:val="auto"/>
          <w:sz w:val="22"/>
          <w:szCs w:val="22"/>
        </w:rPr>
        <w:t>and</w:t>
      </w:r>
      <w:r w:rsidR="007C4F3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2468D">
        <w:rPr>
          <w:rFonts w:ascii="Calibri" w:hAnsi="Calibri" w:cs="Calibri"/>
          <w:color w:val="auto"/>
          <w:sz w:val="22"/>
          <w:szCs w:val="22"/>
        </w:rPr>
        <w:t xml:space="preserve">under </w:t>
      </w:r>
      <w:r w:rsidR="001267A7">
        <w:rPr>
          <w:rFonts w:ascii="Calibri" w:hAnsi="Calibri" w:cs="Calibri"/>
          <w:color w:val="auto"/>
          <w:sz w:val="22"/>
          <w:szCs w:val="22"/>
        </w:rPr>
        <w:t xml:space="preserve">callers </w:t>
      </w:r>
      <w:r w:rsidR="008624E2">
        <w:rPr>
          <w:rFonts w:ascii="Calibri" w:hAnsi="Calibri" w:cs="Calibri"/>
          <w:color w:val="auto"/>
          <w:sz w:val="22"/>
          <w:szCs w:val="22"/>
        </w:rPr>
        <w:t>is</w:t>
      </w:r>
      <w:r w:rsidR="005C0A73">
        <w:rPr>
          <w:rFonts w:ascii="Calibri" w:hAnsi="Calibri" w:cs="Calibri"/>
          <w:color w:val="auto"/>
          <w:sz w:val="22"/>
          <w:szCs w:val="22"/>
        </w:rPr>
        <w:t xml:space="preserve"> beginning to gro</w:t>
      </w:r>
      <w:r w:rsidR="001B2C9F">
        <w:rPr>
          <w:rFonts w:ascii="Calibri" w:hAnsi="Calibri" w:cs="Calibri"/>
          <w:color w:val="auto"/>
          <w:sz w:val="22"/>
          <w:szCs w:val="22"/>
        </w:rPr>
        <w:t>w in recent quarters</w:t>
      </w:r>
      <w:r w:rsidR="008624E2">
        <w:rPr>
          <w:rFonts w:ascii="Calibri" w:hAnsi="Calibri" w:cs="Calibri"/>
          <w:color w:val="auto"/>
          <w:sz w:val="22"/>
          <w:szCs w:val="22"/>
        </w:rPr>
        <w:t>,</w:t>
      </w:r>
      <w:r w:rsidR="001B2C9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27D99">
        <w:rPr>
          <w:rFonts w:ascii="Calibri" w:hAnsi="Calibri" w:cs="Calibri"/>
          <w:color w:val="auto"/>
          <w:sz w:val="22"/>
          <w:szCs w:val="22"/>
        </w:rPr>
        <w:t>now nearing 4% of callers.</w:t>
      </w:r>
    </w:p>
    <w:p w14:paraId="3F67A15F" w14:textId="21B4B55F" w:rsidR="00B60276" w:rsidRPr="00104174" w:rsidRDefault="00B60276" w:rsidP="00B60276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104174">
        <w:rPr>
          <w:rFonts w:eastAsia="Times New Roman"/>
          <w:b/>
          <w:sz w:val="24"/>
          <w:szCs w:val="24"/>
          <w:lang w:eastAsia="en-IE"/>
        </w:rPr>
        <w:t xml:space="preserve">Table 2 – Caller Age Profile </w:t>
      </w:r>
    </w:p>
    <w:tbl>
      <w:tblPr>
        <w:tblW w:w="9595" w:type="dxa"/>
        <w:tblInd w:w="-10" w:type="dxa"/>
        <w:tblLook w:val="04A0" w:firstRow="1" w:lastRow="0" w:firstColumn="1" w:lastColumn="0" w:noHBand="0" w:noVBand="1"/>
      </w:tblPr>
      <w:tblGrid>
        <w:gridCol w:w="2427"/>
        <w:gridCol w:w="2228"/>
        <w:gridCol w:w="2470"/>
        <w:gridCol w:w="2470"/>
      </w:tblGrid>
      <w:tr w:rsidR="00E004E5" w:rsidRPr="00104174" w14:paraId="1E46E313" w14:textId="4207C6EB" w:rsidTr="005E4217">
        <w:trPr>
          <w:trHeight w:val="274"/>
        </w:trPr>
        <w:tc>
          <w:tcPr>
            <w:tcW w:w="24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0442C416" w14:textId="77777777" w:rsidR="00E004E5" w:rsidRPr="00104174" w:rsidRDefault="00E004E5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22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62A39F"/>
            <w:noWrap/>
            <w:vAlign w:val="center"/>
            <w:hideMark/>
          </w:tcPr>
          <w:p w14:paraId="54E40F65" w14:textId="77777777" w:rsidR="00E004E5" w:rsidRPr="00104174" w:rsidRDefault="00E004E5" w:rsidP="00592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10692935" w14:textId="70E67A05" w:rsidR="00E004E5" w:rsidRPr="00104174" w:rsidRDefault="00E004E5" w:rsidP="00592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D5E85FC" w14:textId="77777777" w:rsidR="00E004E5" w:rsidRPr="00104174" w:rsidRDefault="00E004E5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62A39F"/>
          </w:tcPr>
          <w:p w14:paraId="3F6703C8" w14:textId="56271225" w:rsidR="00E004E5" w:rsidRPr="00104174" w:rsidRDefault="00E004E5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Change Q2 ’23 – Q2 ‘24</w:t>
            </w:r>
          </w:p>
        </w:tc>
      </w:tr>
      <w:tr w:rsidR="00E004E5" w:rsidRPr="00104174" w14:paraId="3F27B9CE" w14:textId="6E08E466" w:rsidTr="005E4217">
        <w:trPr>
          <w:trHeight w:val="288"/>
        </w:trPr>
        <w:tc>
          <w:tcPr>
            <w:tcW w:w="24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14:paraId="2082112B" w14:textId="77777777" w:rsidR="00E004E5" w:rsidRPr="00104174" w:rsidRDefault="00E004E5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38D95A1D" w14:textId="64EB2E32" w:rsidR="00E004E5" w:rsidRPr="00104174" w:rsidRDefault="00E004E5" w:rsidP="00592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47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62ECEB" w14:textId="77777777" w:rsidR="00E004E5" w:rsidRPr="00104174" w:rsidRDefault="00E004E5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47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</w:tcPr>
          <w:p w14:paraId="662F079A" w14:textId="77777777" w:rsidR="00E004E5" w:rsidRPr="00104174" w:rsidRDefault="00E004E5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E004E5" w:rsidRPr="00104174" w14:paraId="506F6CF4" w14:textId="3543842D" w:rsidTr="00E004E5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0FE3C8" w14:textId="688F8E3E" w:rsidR="00E004E5" w:rsidRPr="00104174" w:rsidRDefault="00E004E5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26-45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66A26897" w14:textId="153C42AD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27,341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7F934949" w14:textId="65AED2B3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39.7%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7A327508" w14:textId="592A22C2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+5.2%</w:t>
            </w:r>
          </w:p>
        </w:tc>
      </w:tr>
      <w:tr w:rsidR="00E004E5" w:rsidRPr="00104174" w14:paraId="0E670BF8" w14:textId="7CC0A711" w:rsidTr="00E004E5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DB3BB29" w14:textId="1E048867" w:rsidR="00E004E5" w:rsidRPr="00104174" w:rsidRDefault="00E004E5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46-65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531FEAA9" w14:textId="232D3BB0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26,445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0A7A3C46" w14:textId="5CE89AEA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38.4%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05D63E6D" w14:textId="4CA70DC1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+7.7%</w:t>
            </w:r>
          </w:p>
        </w:tc>
      </w:tr>
      <w:tr w:rsidR="00E004E5" w:rsidRPr="00104174" w14:paraId="57733959" w14:textId="072589D5" w:rsidTr="00E004E5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42E7F6" w14:textId="77777777" w:rsidR="00E004E5" w:rsidRPr="00104174" w:rsidRDefault="00E004E5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66 and Over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7BC98B0D" w14:textId="0CBC1A92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12,309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7DE864E2" w14:textId="5C9649FB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17.9%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462566A0" w14:textId="3BBBF842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+3.5%</w:t>
            </w:r>
          </w:p>
        </w:tc>
      </w:tr>
      <w:tr w:rsidR="00E004E5" w:rsidRPr="00104174" w14:paraId="11B92745" w14:textId="23DEF573" w:rsidTr="00E004E5">
        <w:trPr>
          <w:trHeight w:val="261"/>
        </w:trPr>
        <w:tc>
          <w:tcPr>
            <w:tcW w:w="242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6BDFEC" w14:textId="77777777" w:rsidR="00E004E5" w:rsidRPr="00104174" w:rsidRDefault="00E004E5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25 and Under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177A63B6" w14:textId="52576E80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2,716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4D500413" w14:textId="45C8D97E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3.9%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</w:tcPr>
          <w:p w14:paraId="3B7AF0C7" w14:textId="6D96EF77" w:rsidR="00E004E5" w:rsidRPr="00104174" w:rsidRDefault="00E004E5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+26.2%</w:t>
            </w:r>
          </w:p>
        </w:tc>
      </w:tr>
    </w:tbl>
    <w:p w14:paraId="1307DA5B" w14:textId="2E3EDAD6" w:rsidR="00A06E28" w:rsidRPr="007E6459" w:rsidRDefault="00CE06CC" w:rsidP="00104C55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7E6459">
        <w:rPr>
          <w:rFonts w:ascii="Calibri" w:hAnsi="Calibri" w:cs="Calibri"/>
          <w:color w:val="auto"/>
          <w:sz w:val="22"/>
          <w:szCs w:val="22"/>
        </w:rPr>
        <w:t xml:space="preserve">The most popular mode of contact </w:t>
      </w:r>
      <w:r w:rsidR="008624E2" w:rsidRPr="007E6459">
        <w:rPr>
          <w:rFonts w:ascii="Calibri" w:hAnsi="Calibri" w:cs="Calibri"/>
          <w:color w:val="auto"/>
          <w:sz w:val="22"/>
          <w:szCs w:val="22"/>
        </w:rPr>
        <w:t>post</w:t>
      </w:r>
      <w:r w:rsidR="008624E2">
        <w:rPr>
          <w:rFonts w:ascii="Calibri" w:hAnsi="Calibri" w:cs="Calibri"/>
          <w:color w:val="auto"/>
          <w:sz w:val="22"/>
          <w:szCs w:val="22"/>
        </w:rPr>
        <w:t>-COVID</w:t>
      </w:r>
      <w:r w:rsidR="008624E2" w:rsidRPr="007E645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6459">
        <w:rPr>
          <w:rFonts w:ascii="Calibri" w:hAnsi="Calibri" w:cs="Calibri"/>
          <w:color w:val="auto"/>
          <w:sz w:val="22"/>
          <w:szCs w:val="22"/>
        </w:rPr>
        <w:t>has returne</w:t>
      </w:r>
      <w:r w:rsidR="007E6459" w:rsidRPr="007E6459">
        <w:rPr>
          <w:rFonts w:ascii="Calibri" w:hAnsi="Calibri" w:cs="Calibri"/>
          <w:color w:val="auto"/>
          <w:sz w:val="22"/>
          <w:szCs w:val="22"/>
        </w:rPr>
        <w:t>d to personal calls</w:t>
      </w:r>
      <w:r w:rsidR="007E6459">
        <w:rPr>
          <w:rFonts w:ascii="Calibri" w:hAnsi="Calibri" w:cs="Calibri"/>
          <w:color w:val="auto"/>
          <w:sz w:val="22"/>
          <w:szCs w:val="22"/>
        </w:rPr>
        <w:t xml:space="preserve">, nearing 70% of all calls. </w:t>
      </w:r>
      <w:r w:rsidR="004349C8">
        <w:rPr>
          <w:rFonts w:ascii="Calibri" w:hAnsi="Calibri" w:cs="Calibri"/>
          <w:color w:val="auto"/>
          <w:sz w:val="22"/>
          <w:szCs w:val="22"/>
        </w:rPr>
        <w:t xml:space="preserve">Of those 6.9% were appointments and </w:t>
      </w:r>
      <w:r w:rsidR="001614C8">
        <w:rPr>
          <w:rFonts w:ascii="Calibri" w:hAnsi="Calibri" w:cs="Calibri"/>
          <w:color w:val="auto"/>
          <w:sz w:val="22"/>
          <w:szCs w:val="22"/>
        </w:rPr>
        <w:t xml:space="preserve">93.2% were </w:t>
      </w:r>
      <w:r w:rsidR="00B9309B">
        <w:rPr>
          <w:rFonts w:ascii="Calibri" w:hAnsi="Calibri" w:cs="Calibri"/>
          <w:color w:val="auto"/>
          <w:sz w:val="22"/>
          <w:szCs w:val="22"/>
        </w:rPr>
        <w:t>drop in.</w:t>
      </w:r>
    </w:p>
    <w:p w14:paraId="32DA03CE" w14:textId="248D299F" w:rsidR="00B60276" w:rsidRPr="00104174" w:rsidRDefault="00B60276" w:rsidP="00104C55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104174">
        <w:rPr>
          <w:rFonts w:eastAsia="Times New Roman"/>
          <w:b/>
          <w:sz w:val="24"/>
          <w:szCs w:val="24"/>
          <w:lang w:eastAsia="en-IE"/>
        </w:rPr>
        <w:t>Table 3 – Caller Mode of Contact</w:t>
      </w:r>
      <w:r w:rsidR="005467C3" w:rsidRPr="00104174">
        <w:rPr>
          <w:rFonts w:eastAsia="Times New Roman"/>
          <w:b/>
          <w:sz w:val="24"/>
          <w:szCs w:val="24"/>
          <w:lang w:eastAsia="en-IE"/>
        </w:rPr>
        <w:t xml:space="preserve"> </w:t>
      </w:r>
    </w:p>
    <w:tbl>
      <w:tblPr>
        <w:tblStyle w:val="GridTable5Dark-Accent6"/>
        <w:tblW w:w="9607" w:type="dxa"/>
        <w:tblLook w:val="04A0" w:firstRow="1" w:lastRow="0" w:firstColumn="1" w:lastColumn="0" w:noHBand="0" w:noVBand="1"/>
      </w:tblPr>
      <w:tblGrid>
        <w:gridCol w:w="2029"/>
        <w:gridCol w:w="2640"/>
        <w:gridCol w:w="2481"/>
        <w:gridCol w:w="2457"/>
      </w:tblGrid>
      <w:tr w:rsidR="0022468D" w:rsidRPr="00104174" w14:paraId="7EA4B4D3" w14:textId="73C70F78" w:rsidTr="00224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A2B7CEA" w14:textId="77777777" w:rsidR="0022468D" w:rsidRPr="00104174" w:rsidRDefault="0022468D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716424ED" w14:textId="77777777" w:rsidR="0022468D" w:rsidRPr="00104174" w:rsidRDefault="0022468D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29E9851F" w14:textId="77777777" w:rsidR="0022468D" w:rsidRPr="00104174" w:rsidRDefault="0022468D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2457" w:type="dxa"/>
          </w:tcPr>
          <w:p w14:paraId="36A96A9A" w14:textId="73BEFAF7" w:rsidR="0022468D" w:rsidRPr="00104174" w:rsidRDefault="0022468D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24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Change Q2 ’23 – Q2 ‘24</w:t>
            </w:r>
          </w:p>
        </w:tc>
      </w:tr>
      <w:tr w:rsidR="0022468D" w:rsidRPr="00104174" w14:paraId="01A6056B" w14:textId="1C6B611A" w:rsidTr="00224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45A6F347" w14:textId="5A21ECE1" w:rsidR="0022468D" w:rsidRPr="00104174" w:rsidRDefault="0022468D" w:rsidP="009866C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640" w:type="dxa"/>
            <w:noWrap/>
            <w:hideMark/>
          </w:tcPr>
          <w:p w14:paraId="30CFC515" w14:textId="421A75F2" w:rsidR="0022468D" w:rsidRPr="00104174" w:rsidRDefault="0022468D" w:rsidP="009866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66,267</w:t>
            </w:r>
          </w:p>
        </w:tc>
        <w:tc>
          <w:tcPr>
            <w:tcW w:w="2481" w:type="dxa"/>
            <w:noWrap/>
            <w:hideMark/>
          </w:tcPr>
          <w:p w14:paraId="2DC88BC0" w14:textId="4261B11B" w:rsidR="0022468D" w:rsidRPr="00104174" w:rsidRDefault="0022468D" w:rsidP="003830F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66.8%</w:t>
            </w:r>
          </w:p>
        </w:tc>
        <w:tc>
          <w:tcPr>
            <w:tcW w:w="2457" w:type="dxa"/>
          </w:tcPr>
          <w:p w14:paraId="5E78DD0A" w14:textId="5E34FBB4" w:rsidR="0022468D" w:rsidRPr="00104174" w:rsidRDefault="0022468D" w:rsidP="003830F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+16.8%</w:t>
            </w:r>
          </w:p>
        </w:tc>
      </w:tr>
      <w:tr w:rsidR="0022468D" w:rsidRPr="00104174" w14:paraId="02F03D13" w14:textId="5DC4A41E" w:rsidTr="0022468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</w:tcPr>
          <w:p w14:paraId="4E3F2382" w14:textId="5FE4A092" w:rsidR="0022468D" w:rsidRPr="00104174" w:rsidRDefault="0022468D" w:rsidP="003830F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</w:tcPr>
          <w:p w14:paraId="67421880" w14:textId="29C0B8BE" w:rsidR="0022468D" w:rsidRPr="00104174" w:rsidRDefault="0022468D" w:rsidP="003830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30,031</w:t>
            </w:r>
          </w:p>
        </w:tc>
        <w:tc>
          <w:tcPr>
            <w:tcW w:w="2481" w:type="dxa"/>
            <w:noWrap/>
          </w:tcPr>
          <w:p w14:paraId="6DB2E461" w14:textId="4F2D3715" w:rsidR="0022468D" w:rsidRPr="00104174" w:rsidRDefault="0022468D" w:rsidP="003830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30.3%</w:t>
            </w:r>
          </w:p>
        </w:tc>
        <w:tc>
          <w:tcPr>
            <w:tcW w:w="2457" w:type="dxa"/>
          </w:tcPr>
          <w:p w14:paraId="5BD90AC8" w14:textId="38F618A3" w:rsidR="0022468D" w:rsidRPr="00104174" w:rsidRDefault="0022468D" w:rsidP="003830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-16.8%</w:t>
            </w:r>
          </w:p>
        </w:tc>
      </w:tr>
      <w:tr w:rsidR="0022468D" w:rsidRPr="00104174" w14:paraId="643F2934" w14:textId="307F8C79" w:rsidTr="00224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592A83FB" w14:textId="3968F8D2" w:rsidR="0022468D" w:rsidRPr="00104174" w:rsidRDefault="0022468D" w:rsidP="009866C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4F16112C" w14:textId="05747D98" w:rsidR="0022468D" w:rsidRPr="00104174" w:rsidRDefault="0022468D" w:rsidP="009866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2,883</w:t>
            </w:r>
          </w:p>
        </w:tc>
        <w:tc>
          <w:tcPr>
            <w:tcW w:w="2481" w:type="dxa"/>
            <w:noWrap/>
            <w:hideMark/>
          </w:tcPr>
          <w:p w14:paraId="1C9D93E3" w14:textId="6D7FDC1A" w:rsidR="0022468D" w:rsidRPr="00104174" w:rsidRDefault="0022468D" w:rsidP="009866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2.9%</w:t>
            </w:r>
          </w:p>
        </w:tc>
        <w:tc>
          <w:tcPr>
            <w:tcW w:w="2457" w:type="dxa"/>
          </w:tcPr>
          <w:p w14:paraId="283CD46D" w14:textId="6D1F3E55" w:rsidR="0022468D" w:rsidRPr="00104174" w:rsidRDefault="0022468D" w:rsidP="009866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+2.2%</w:t>
            </w:r>
          </w:p>
        </w:tc>
      </w:tr>
    </w:tbl>
    <w:p w14:paraId="184C8270" w14:textId="77777777" w:rsidR="009A5E19" w:rsidRPr="00104174" w:rsidRDefault="009A5E19" w:rsidP="00B60276"/>
    <w:p w14:paraId="5470F2EE" w14:textId="77777777" w:rsidR="00104C55" w:rsidRPr="00104174" w:rsidRDefault="00104C55" w:rsidP="0049247F">
      <w:pPr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</w:pPr>
    </w:p>
    <w:p w14:paraId="32A20AD5" w14:textId="77777777" w:rsidR="000F45BF" w:rsidRDefault="000F45BF" w:rsidP="00653E3E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</w:p>
    <w:p w14:paraId="7441AE68" w14:textId="75E2C4D1" w:rsidR="000F45BF" w:rsidRDefault="000F45BF" w:rsidP="00653E3E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 xml:space="preserve">Country of </w:t>
      </w:r>
      <w:r w:rsidR="00A06E28"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>Or</w:t>
      </w:r>
      <w: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 xml:space="preserve">igin </w:t>
      </w:r>
    </w:p>
    <w:p w14:paraId="47F708AC" w14:textId="5CDC8920" w:rsidR="000F45BF" w:rsidRDefault="000F45BF" w:rsidP="00653E3E">
      <w:pPr>
        <w:rPr>
          <w:rFonts w:ascii="Calibri" w:eastAsiaTheme="majorEastAsia" w:hAnsi="Calibri" w:cs="Calibri"/>
        </w:rPr>
      </w:pPr>
      <w:r w:rsidRPr="000F45BF">
        <w:rPr>
          <w:rFonts w:ascii="Calibri" w:eastAsiaTheme="majorEastAsia" w:hAnsi="Calibri" w:cs="Calibri"/>
        </w:rPr>
        <w:t>Country of origin was recorded for 62.4% of callers.</w:t>
      </w:r>
      <w:r>
        <w:rPr>
          <w:rFonts w:ascii="Calibri" w:eastAsiaTheme="majorEastAsia" w:hAnsi="Calibri" w:cs="Calibri"/>
        </w:rPr>
        <w:t xml:space="preserve"> </w:t>
      </w:r>
      <w:r w:rsidR="00CA3AA6">
        <w:rPr>
          <w:rFonts w:ascii="Calibri" w:eastAsiaTheme="majorEastAsia" w:hAnsi="Calibri" w:cs="Calibri"/>
        </w:rPr>
        <w:t xml:space="preserve">Of these, </w:t>
      </w:r>
      <w:r>
        <w:rPr>
          <w:rFonts w:ascii="Calibri" w:eastAsiaTheme="majorEastAsia" w:hAnsi="Calibri" w:cs="Calibri"/>
        </w:rPr>
        <w:t>74.1% were from Ireland, 17.3% were from countries outside the EU, and 8.6% were from EU countries.</w:t>
      </w:r>
    </w:p>
    <w:p w14:paraId="40115AE2" w14:textId="138583A5" w:rsidR="000F45BF" w:rsidRPr="0050261C" w:rsidRDefault="000F45BF" w:rsidP="0050261C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50261C">
        <w:rPr>
          <w:rFonts w:eastAsia="Times New Roman"/>
          <w:b/>
          <w:sz w:val="24"/>
          <w:szCs w:val="24"/>
          <w:lang w:eastAsia="en-IE"/>
        </w:rPr>
        <w:t xml:space="preserve">Table 4: Top 5 Countries of Origin </w:t>
      </w:r>
      <w:r w:rsidR="00CA3AA6" w:rsidRPr="0050261C">
        <w:rPr>
          <w:rFonts w:eastAsia="Times New Roman"/>
          <w:b/>
          <w:sz w:val="24"/>
          <w:szCs w:val="24"/>
          <w:lang w:eastAsia="en-IE"/>
        </w:rPr>
        <w:t>of callers</w:t>
      </w:r>
      <w:r w:rsidRPr="0050261C">
        <w:rPr>
          <w:rFonts w:eastAsia="Times New Roman"/>
          <w:b/>
          <w:sz w:val="24"/>
          <w:szCs w:val="24"/>
          <w:lang w:eastAsia="en-IE"/>
        </w:rPr>
        <w:t xml:space="preserve"> (excluding Ireland)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860"/>
        <w:gridCol w:w="4397"/>
        <w:gridCol w:w="3923"/>
      </w:tblGrid>
      <w:tr w:rsidR="00A06E28" w14:paraId="6C175251" w14:textId="4016EA1E" w:rsidTr="00A0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4052A5C7" w14:textId="46C6F935" w:rsidR="00A06E28" w:rsidRDefault="00A06E28" w:rsidP="00653E3E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397" w:type="dxa"/>
          </w:tcPr>
          <w:p w14:paraId="3DAE8B00" w14:textId="3393368E" w:rsidR="00A06E28" w:rsidRDefault="00A06E28" w:rsidP="00653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Country of Origin</w:t>
            </w:r>
          </w:p>
        </w:tc>
        <w:tc>
          <w:tcPr>
            <w:tcW w:w="3923" w:type="dxa"/>
          </w:tcPr>
          <w:p w14:paraId="4A20677A" w14:textId="27843D51" w:rsidR="00A06E28" w:rsidRDefault="00A06E28" w:rsidP="00653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Number of call</w:t>
            </w:r>
            <w:r w:rsidR="00E43A48">
              <w:rPr>
                <w:rFonts w:ascii="Calibri" w:eastAsiaTheme="majorEastAsia" w:hAnsi="Calibri" w:cs="Calibri"/>
              </w:rPr>
              <w:t>ers</w:t>
            </w:r>
          </w:p>
        </w:tc>
      </w:tr>
      <w:tr w:rsidR="00A06E28" w14:paraId="5E528E07" w14:textId="582E8058" w:rsidTr="00A0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55BDED07" w14:textId="31DDBA57" w:rsidR="00A06E28" w:rsidRDefault="00A06E28" w:rsidP="00653E3E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</w:t>
            </w:r>
          </w:p>
        </w:tc>
        <w:tc>
          <w:tcPr>
            <w:tcW w:w="4397" w:type="dxa"/>
          </w:tcPr>
          <w:p w14:paraId="723B0C44" w14:textId="23AFA776" w:rsidR="00A06E28" w:rsidRDefault="00A06E28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Poland</w:t>
            </w:r>
          </w:p>
        </w:tc>
        <w:tc>
          <w:tcPr>
            <w:tcW w:w="3923" w:type="dxa"/>
          </w:tcPr>
          <w:p w14:paraId="0AFEA5AF" w14:textId="3DC254CC" w:rsidR="00A06E28" w:rsidRDefault="00A06E28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1,922</w:t>
            </w:r>
          </w:p>
        </w:tc>
      </w:tr>
      <w:tr w:rsidR="00A06E28" w14:paraId="3D1CC2F4" w14:textId="6626EBC3" w:rsidTr="00A0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201F902A" w14:textId="22425A2C" w:rsidR="00A06E28" w:rsidRDefault="00A06E28" w:rsidP="00653E3E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2</w:t>
            </w:r>
          </w:p>
        </w:tc>
        <w:tc>
          <w:tcPr>
            <w:tcW w:w="4397" w:type="dxa"/>
          </w:tcPr>
          <w:p w14:paraId="75EA6B21" w14:textId="0E0D8C85" w:rsidR="00A06E28" w:rsidRDefault="00A06E28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Ukraine</w:t>
            </w:r>
          </w:p>
        </w:tc>
        <w:tc>
          <w:tcPr>
            <w:tcW w:w="3923" w:type="dxa"/>
          </w:tcPr>
          <w:p w14:paraId="7E2F72B9" w14:textId="2236EBB2" w:rsidR="00A06E28" w:rsidRDefault="00A06E28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1,717</w:t>
            </w:r>
          </w:p>
        </w:tc>
      </w:tr>
      <w:tr w:rsidR="00A06E28" w14:paraId="3E317CEC" w14:textId="7D513012" w:rsidTr="00A0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136FEF1F" w14:textId="668A1729" w:rsidR="00A06E28" w:rsidRDefault="00A06E28" w:rsidP="00653E3E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3</w:t>
            </w:r>
          </w:p>
        </w:tc>
        <w:tc>
          <w:tcPr>
            <w:tcW w:w="4397" w:type="dxa"/>
          </w:tcPr>
          <w:p w14:paraId="483541FE" w14:textId="3E0D9F30" w:rsidR="00A06E28" w:rsidRDefault="00A06E28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Nigeria</w:t>
            </w:r>
          </w:p>
        </w:tc>
        <w:tc>
          <w:tcPr>
            <w:tcW w:w="3923" w:type="dxa"/>
          </w:tcPr>
          <w:p w14:paraId="2EAE0EF6" w14:textId="7E9C110E" w:rsidR="00A06E28" w:rsidRDefault="00A06E28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1,536</w:t>
            </w:r>
          </w:p>
        </w:tc>
      </w:tr>
      <w:tr w:rsidR="00A06E28" w14:paraId="370FEB97" w14:textId="6680C6E9" w:rsidTr="00A0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0B9246CD" w14:textId="5AA75D2E" w:rsidR="00A06E28" w:rsidRDefault="00A06E28" w:rsidP="00653E3E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4</w:t>
            </w:r>
          </w:p>
        </w:tc>
        <w:tc>
          <w:tcPr>
            <w:tcW w:w="4397" w:type="dxa"/>
          </w:tcPr>
          <w:p w14:paraId="05B2CA84" w14:textId="35C28F13" w:rsidR="00A06E28" w:rsidRDefault="00A06E28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United Kingdom</w:t>
            </w:r>
          </w:p>
        </w:tc>
        <w:tc>
          <w:tcPr>
            <w:tcW w:w="3923" w:type="dxa"/>
          </w:tcPr>
          <w:p w14:paraId="755BC6C9" w14:textId="31540870" w:rsidR="00A06E28" w:rsidRDefault="00A06E28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1,000</w:t>
            </w:r>
          </w:p>
        </w:tc>
      </w:tr>
      <w:tr w:rsidR="00A06E28" w14:paraId="677BB538" w14:textId="5CE60DAC" w:rsidTr="00A0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78CDDE30" w14:textId="61AE8D05" w:rsidR="00A06E28" w:rsidRDefault="00A06E28" w:rsidP="00653E3E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5</w:t>
            </w:r>
          </w:p>
        </w:tc>
        <w:tc>
          <w:tcPr>
            <w:tcW w:w="4397" w:type="dxa"/>
          </w:tcPr>
          <w:p w14:paraId="0CD1CB94" w14:textId="3507612C" w:rsidR="00A06E28" w:rsidRDefault="00A06E28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Romania</w:t>
            </w:r>
          </w:p>
        </w:tc>
        <w:tc>
          <w:tcPr>
            <w:tcW w:w="3923" w:type="dxa"/>
          </w:tcPr>
          <w:p w14:paraId="00A754AF" w14:textId="7A850B1C" w:rsidR="00A06E28" w:rsidRDefault="00A06E28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881</w:t>
            </w:r>
          </w:p>
        </w:tc>
      </w:tr>
    </w:tbl>
    <w:p w14:paraId="0BAB5FD9" w14:textId="77777777" w:rsidR="000F45BF" w:rsidRPr="000F45BF" w:rsidRDefault="000F45BF" w:rsidP="00653E3E">
      <w:pPr>
        <w:rPr>
          <w:rFonts w:ascii="Calibri" w:eastAsiaTheme="majorEastAsia" w:hAnsi="Calibri" w:cs="Calibri"/>
        </w:rPr>
      </w:pPr>
    </w:p>
    <w:p w14:paraId="33191F1C" w14:textId="661A3F56" w:rsidR="00D407A8" w:rsidRPr="0050261C" w:rsidRDefault="00C216DE" w:rsidP="0050261C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50261C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911C10" w:rsidRPr="0050261C">
        <w:rPr>
          <w:rFonts w:eastAsia="Times New Roman"/>
          <w:b/>
          <w:sz w:val="24"/>
          <w:szCs w:val="24"/>
          <w:lang w:eastAsia="en-IE"/>
        </w:rPr>
        <w:t>5</w:t>
      </w:r>
      <w:r w:rsidR="00DF46AD" w:rsidRPr="0050261C">
        <w:rPr>
          <w:rFonts w:eastAsia="Times New Roman"/>
          <w:b/>
          <w:sz w:val="24"/>
          <w:szCs w:val="24"/>
          <w:lang w:eastAsia="en-IE"/>
        </w:rPr>
        <w:t>:</w:t>
      </w:r>
      <w:r w:rsidRPr="0050261C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CA3AA6" w:rsidRPr="0050261C">
        <w:rPr>
          <w:rFonts w:eastAsia="Times New Roman"/>
          <w:b/>
          <w:sz w:val="24"/>
          <w:szCs w:val="24"/>
          <w:lang w:eastAsia="en-IE"/>
        </w:rPr>
        <w:t xml:space="preserve">Top 5 </w:t>
      </w:r>
      <w:r w:rsidRPr="0050261C">
        <w:rPr>
          <w:rFonts w:eastAsia="Times New Roman"/>
          <w:b/>
          <w:sz w:val="24"/>
          <w:szCs w:val="24"/>
          <w:lang w:eastAsia="en-IE"/>
        </w:rPr>
        <w:t>Countries of Origin by age</w:t>
      </w:r>
      <w:r w:rsidR="0066182C" w:rsidRPr="0050261C">
        <w:rPr>
          <w:rFonts w:eastAsia="Times New Roman"/>
          <w:b/>
          <w:sz w:val="24"/>
          <w:szCs w:val="24"/>
          <w:lang w:eastAsia="en-IE"/>
        </w:rPr>
        <w:t xml:space="preserve"> group.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216DE" w14:paraId="6063EE4D" w14:textId="77777777" w:rsidTr="00C21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91BC465" w14:textId="77777777" w:rsidR="00C216DE" w:rsidRDefault="00C216DE" w:rsidP="00653E3E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094A1E67" w14:textId="2F810EE3" w:rsidR="00C216DE" w:rsidRDefault="00C216DE" w:rsidP="00653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 25</w:t>
            </w:r>
          </w:p>
        </w:tc>
        <w:tc>
          <w:tcPr>
            <w:tcW w:w="1803" w:type="dxa"/>
          </w:tcPr>
          <w:p w14:paraId="7B7D025F" w14:textId="125099DF" w:rsidR="00C216DE" w:rsidRDefault="00C216DE" w:rsidP="00653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26-45</w:t>
            </w:r>
          </w:p>
        </w:tc>
        <w:tc>
          <w:tcPr>
            <w:tcW w:w="1803" w:type="dxa"/>
          </w:tcPr>
          <w:p w14:paraId="05D0F61E" w14:textId="522ED1C8" w:rsidR="00C216DE" w:rsidRDefault="00C216DE" w:rsidP="00653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46-65 </w:t>
            </w:r>
          </w:p>
        </w:tc>
        <w:tc>
          <w:tcPr>
            <w:tcW w:w="1804" w:type="dxa"/>
          </w:tcPr>
          <w:p w14:paraId="3C7E9D43" w14:textId="42F0BD9C" w:rsidR="00C216DE" w:rsidRDefault="00C216DE" w:rsidP="00653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and Over</w:t>
            </w:r>
          </w:p>
        </w:tc>
      </w:tr>
      <w:tr w:rsidR="00C216DE" w14:paraId="5D67D421" w14:textId="77777777" w:rsidTr="00C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4B9ED71" w14:textId="0A1217C1" w:rsidR="00C216DE" w:rsidRDefault="00C216DE" w:rsidP="00653E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03" w:type="dxa"/>
          </w:tcPr>
          <w:p w14:paraId="1BD6F05A" w14:textId="48B7876B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Ukraine</w:t>
            </w:r>
          </w:p>
        </w:tc>
        <w:tc>
          <w:tcPr>
            <w:tcW w:w="1803" w:type="dxa"/>
          </w:tcPr>
          <w:p w14:paraId="1FCF808B" w14:textId="2FAB33DD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Poland</w:t>
            </w:r>
          </w:p>
        </w:tc>
        <w:tc>
          <w:tcPr>
            <w:tcW w:w="1803" w:type="dxa"/>
          </w:tcPr>
          <w:p w14:paraId="768311C9" w14:textId="4015B110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Poland</w:t>
            </w:r>
          </w:p>
        </w:tc>
        <w:tc>
          <w:tcPr>
            <w:tcW w:w="1804" w:type="dxa"/>
          </w:tcPr>
          <w:p w14:paraId="1D4E3C31" w14:textId="7EBF0CE6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United Kingdom</w:t>
            </w:r>
          </w:p>
        </w:tc>
      </w:tr>
      <w:tr w:rsidR="00C216DE" w14:paraId="67A89EE5" w14:textId="77777777" w:rsidTr="00C21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341D5E5" w14:textId="7325F258" w:rsidR="00C216DE" w:rsidRDefault="00C216DE" w:rsidP="00653E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03" w:type="dxa"/>
          </w:tcPr>
          <w:p w14:paraId="3FB79F36" w14:textId="47B64854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Poland</w:t>
            </w:r>
          </w:p>
        </w:tc>
        <w:tc>
          <w:tcPr>
            <w:tcW w:w="1803" w:type="dxa"/>
          </w:tcPr>
          <w:p w14:paraId="0263BF8D" w14:textId="1D523817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Ukraine</w:t>
            </w:r>
          </w:p>
        </w:tc>
        <w:tc>
          <w:tcPr>
            <w:tcW w:w="1803" w:type="dxa"/>
          </w:tcPr>
          <w:p w14:paraId="47B82B09" w14:textId="7404BF1B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Nigeria</w:t>
            </w:r>
          </w:p>
        </w:tc>
        <w:tc>
          <w:tcPr>
            <w:tcW w:w="1804" w:type="dxa"/>
          </w:tcPr>
          <w:p w14:paraId="7F57D58E" w14:textId="272729C3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Ukraine</w:t>
            </w:r>
          </w:p>
        </w:tc>
      </w:tr>
      <w:tr w:rsidR="00C216DE" w14:paraId="4F14D27D" w14:textId="77777777" w:rsidTr="00C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AE4B033" w14:textId="11CF12C2" w:rsidR="00C216DE" w:rsidRDefault="00C216DE" w:rsidP="00653E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3" w:type="dxa"/>
          </w:tcPr>
          <w:p w14:paraId="42487BC7" w14:textId="43BA785E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Nigeria</w:t>
            </w:r>
          </w:p>
        </w:tc>
        <w:tc>
          <w:tcPr>
            <w:tcW w:w="1803" w:type="dxa"/>
          </w:tcPr>
          <w:p w14:paraId="71C166AB" w14:textId="4ACCD878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Nigeria</w:t>
            </w:r>
          </w:p>
        </w:tc>
        <w:tc>
          <w:tcPr>
            <w:tcW w:w="1803" w:type="dxa"/>
          </w:tcPr>
          <w:p w14:paraId="238CA51C" w14:textId="2A0E713B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Ukraine</w:t>
            </w:r>
          </w:p>
        </w:tc>
        <w:tc>
          <w:tcPr>
            <w:tcW w:w="1804" w:type="dxa"/>
          </w:tcPr>
          <w:p w14:paraId="65A6E7BB" w14:textId="52C520B6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Poland</w:t>
            </w:r>
          </w:p>
        </w:tc>
      </w:tr>
      <w:tr w:rsidR="00C216DE" w14:paraId="6FD3057D" w14:textId="77777777" w:rsidTr="00C21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CDBF247" w14:textId="500F4875" w:rsidR="00C216DE" w:rsidRDefault="00C216DE" w:rsidP="00653E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03" w:type="dxa"/>
          </w:tcPr>
          <w:p w14:paraId="4CEA8B13" w14:textId="598E5B88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Afghanistan</w:t>
            </w:r>
          </w:p>
        </w:tc>
        <w:tc>
          <w:tcPr>
            <w:tcW w:w="1803" w:type="dxa"/>
          </w:tcPr>
          <w:p w14:paraId="5CE6265A" w14:textId="64EE1D3C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</w:t>
            </w:r>
          </w:p>
        </w:tc>
        <w:tc>
          <w:tcPr>
            <w:tcW w:w="1803" w:type="dxa"/>
          </w:tcPr>
          <w:p w14:paraId="045A2B5B" w14:textId="12564C63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United Kingdom</w:t>
            </w:r>
          </w:p>
        </w:tc>
        <w:tc>
          <w:tcPr>
            <w:tcW w:w="1804" w:type="dxa"/>
          </w:tcPr>
          <w:p w14:paraId="123E01AD" w14:textId="3125BC78" w:rsidR="00C216DE" w:rsidRDefault="00C216DE" w:rsidP="006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Lithuania</w:t>
            </w:r>
          </w:p>
        </w:tc>
      </w:tr>
      <w:tr w:rsidR="00C216DE" w14:paraId="10669136" w14:textId="77777777" w:rsidTr="00C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D867CBB" w14:textId="755BA23E" w:rsidR="00C216DE" w:rsidRDefault="00C216DE" w:rsidP="00653E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03" w:type="dxa"/>
          </w:tcPr>
          <w:p w14:paraId="7B6BD032" w14:textId="39672CA3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Somalia</w:t>
            </w:r>
          </w:p>
        </w:tc>
        <w:tc>
          <w:tcPr>
            <w:tcW w:w="1803" w:type="dxa"/>
          </w:tcPr>
          <w:p w14:paraId="721F0C31" w14:textId="7F157D1F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Romania</w:t>
            </w:r>
          </w:p>
        </w:tc>
        <w:tc>
          <w:tcPr>
            <w:tcW w:w="1803" w:type="dxa"/>
          </w:tcPr>
          <w:p w14:paraId="2C23A1B9" w14:textId="03341A8B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Romania</w:t>
            </w:r>
          </w:p>
        </w:tc>
        <w:tc>
          <w:tcPr>
            <w:tcW w:w="1804" w:type="dxa"/>
          </w:tcPr>
          <w:p w14:paraId="6DFFFBAA" w14:textId="5E245CB0" w:rsidR="00C216DE" w:rsidRDefault="00C216DE" w:rsidP="0065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South Africa</w:t>
            </w:r>
          </w:p>
        </w:tc>
      </w:tr>
    </w:tbl>
    <w:p w14:paraId="657EC97B" w14:textId="77777777" w:rsidR="000F45BF" w:rsidRDefault="000F45BF" w:rsidP="00653E3E">
      <w:pPr>
        <w:rPr>
          <w:rFonts w:ascii="Calibri" w:hAnsi="Calibri" w:cs="Calibri"/>
        </w:rPr>
      </w:pPr>
    </w:p>
    <w:p w14:paraId="12271A05" w14:textId="77777777" w:rsidR="009A7535" w:rsidRPr="0050261C" w:rsidRDefault="009A7535" w:rsidP="0050261C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 w:rsidRPr="0050261C"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>Specific Needs</w:t>
      </w:r>
    </w:p>
    <w:p w14:paraId="011DEA17" w14:textId="5530CDC9" w:rsidR="009A7535" w:rsidRDefault="00CA3AA6" w:rsidP="009A7535">
      <w:pPr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Some</w:t>
      </w:r>
      <w:r w:rsidR="009A7535">
        <w:rPr>
          <w:rFonts w:ascii="Calibri" w:eastAsiaTheme="majorEastAsia" w:hAnsi="Calibri" w:cs="Calibri"/>
        </w:rPr>
        <w:t xml:space="preserve"> CIS </w:t>
      </w:r>
      <w:r>
        <w:rPr>
          <w:rFonts w:ascii="Calibri" w:eastAsiaTheme="majorEastAsia" w:hAnsi="Calibri" w:cs="Calibri"/>
        </w:rPr>
        <w:t xml:space="preserve">callers </w:t>
      </w:r>
      <w:r w:rsidR="009A7535">
        <w:rPr>
          <w:rFonts w:ascii="Calibri" w:eastAsiaTheme="majorEastAsia" w:hAnsi="Calibri" w:cs="Calibri"/>
        </w:rPr>
        <w:t>have specific needs. In Q</w:t>
      </w:r>
      <w:r w:rsidR="00911C10">
        <w:rPr>
          <w:rFonts w:ascii="Calibri" w:eastAsiaTheme="majorEastAsia" w:hAnsi="Calibri" w:cs="Calibri"/>
        </w:rPr>
        <w:t>2</w:t>
      </w:r>
      <w:r w:rsidR="009A7535">
        <w:rPr>
          <w:rFonts w:ascii="Calibri" w:eastAsiaTheme="majorEastAsia" w:hAnsi="Calibri" w:cs="Calibri"/>
        </w:rPr>
        <w:t xml:space="preserve"> 2024, 14</w:t>
      </w:r>
      <w:r w:rsidR="00000C79">
        <w:rPr>
          <w:rFonts w:ascii="Calibri" w:eastAsiaTheme="majorEastAsia" w:hAnsi="Calibri" w:cs="Calibri"/>
        </w:rPr>
        <w:t>.5</w:t>
      </w:r>
      <w:r w:rsidR="009A7535">
        <w:rPr>
          <w:rFonts w:ascii="Calibri" w:eastAsiaTheme="majorEastAsia" w:hAnsi="Calibri" w:cs="Calibri"/>
        </w:rPr>
        <w:t>% (14,</w:t>
      </w:r>
      <w:r w:rsidR="00000C79">
        <w:rPr>
          <w:rFonts w:ascii="Calibri" w:eastAsiaTheme="majorEastAsia" w:hAnsi="Calibri" w:cs="Calibri"/>
        </w:rPr>
        <w:t>353</w:t>
      </w:r>
      <w:r>
        <w:rPr>
          <w:rFonts w:ascii="Calibri" w:eastAsiaTheme="majorEastAsia" w:hAnsi="Calibri" w:cs="Calibri"/>
        </w:rPr>
        <w:t xml:space="preserve"> </w:t>
      </w:r>
      <w:r w:rsidR="009A7535">
        <w:rPr>
          <w:rFonts w:ascii="Calibri" w:eastAsiaTheme="majorEastAsia" w:hAnsi="Calibri" w:cs="Calibri"/>
        </w:rPr>
        <w:t xml:space="preserve">callers) were identified by information providers as having particular needs or encountering barriers to accessing services, including language, literacy, </w:t>
      </w:r>
      <w:r>
        <w:rPr>
          <w:rFonts w:ascii="Calibri" w:eastAsiaTheme="majorEastAsia" w:hAnsi="Calibri" w:cs="Calibri"/>
        </w:rPr>
        <w:t xml:space="preserve">and </w:t>
      </w:r>
      <w:r w:rsidR="009A7535">
        <w:rPr>
          <w:rFonts w:ascii="Calibri" w:eastAsiaTheme="majorEastAsia" w:hAnsi="Calibri" w:cs="Calibri"/>
        </w:rPr>
        <w:t xml:space="preserve">online access issues. </w:t>
      </w:r>
      <w:r>
        <w:rPr>
          <w:rFonts w:ascii="Calibri" w:eastAsiaTheme="majorEastAsia" w:hAnsi="Calibri" w:cs="Calibri"/>
        </w:rPr>
        <w:t>This represents</w:t>
      </w:r>
      <w:r w:rsidR="00ED2D18">
        <w:rPr>
          <w:rFonts w:ascii="Calibri" w:eastAsiaTheme="majorEastAsia" w:hAnsi="Calibri" w:cs="Calibri"/>
        </w:rPr>
        <w:t xml:space="preserve"> a 6.9% increase </w:t>
      </w:r>
      <w:r w:rsidR="00A92CDF">
        <w:rPr>
          <w:rFonts w:ascii="Calibri" w:eastAsiaTheme="majorEastAsia" w:hAnsi="Calibri" w:cs="Calibri"/>
        </w:rPr>
        <w:t>versus Q2 2023</w:t>
      </w:r>
      <w:r w:rsidR="009A7535">
        <w:rPr>
          <w:rFonts w:ascii="Calibri" w:eastAsiaTheme="majorEastAsia" w:hAnsi="Calibri" w:cs="Calibri"/>
        </w:rPr>
        <w:t>. Callers with specific needs enquired most about Disability Allowance,</w:t>
      </w:r>
      <w:r w:rsidR="00A17266">
        <w:rPr>
          <w:rFonts w:ascii="Calibri" w:eastAsiaTheme="majorEastAsia" w:hAnsi="Calibri" w:cs="Calibri"/>
        </w:rPr>
        <w:t xml:space="preserve"> Medical Card,</w:t>
      </w:r>
      <w:r w:rsidR="009A7535">
        <w:rPr>
          <w:rFonts w:ascii="Calibri" w:eastAsiaTheme="majorEastAsia" w:hAnsi="Calibri" w:cs="Calibri"/>
        </w:rPr>
        <w:t xml:space="preserve"> applying for Local Authority/Social Housing, </w:t>
      </w:r>
      <w:r w:rsidR="00F22116">
        <w:rPr>
          <w:rFonts w:ascii="Calibri" w:eastAsiaTheme="majorEastAsia" w:hAnsi="Calibri" w:cs="Calibri"/>
        </w:rPr>
        <w:t xml:space="preserve">Jobseekers Allowance, </w:t>
      </w:r>
      <w:r w:rsidR="009A7535">
        <w:rPr>
          <w:rFonts w:ascii="Calibri" w:eastAsiaTheme="majorEastAsia" w:hAnsi="Calibri" w:cs="Calibri"/>
        </w:rPr>
        <w:t xml:space="preserve">Basic Supplementary Welfare Allowance, </w:t>
      </w:r>
      <w:r w:rsidR="003A548B">
        <w:rPr>
          <w:rFonts w:ascii="Calibri" w:eastAsiaTheme="majorEastAsia" w:hAnsi="Calibri" w:cs="Calibri"/>
        </w:rPr>
        <w:t>Carer</w:t>
      </w:r>
      <w:r w:rsidR="009A7535">
        <w:rPr>
          <w:rFonts w:ascii="Calibri" w:eastAsiaTheme="majorEastAsia" w:hAnsi="Calibri" w:cs="Calibri"/>
        </w:rPr>
        <w:t xml:space="preserve">’s Allowance and </w:t>
      </w:r>
      <w:r w:rsidR="003A548B">
        <w:rPr>
          <w:rFonts w:ascii="Calibri" w:eastAsiaTheme="majorEastAsia" w:hAnsi="Calibri" w:cs="Calibri"/>
        </w:rPr>
        <w:t>Additional Needs Payment</w:t>
      </w:r>
      <w:r w:rsidR="009A7535">
        <w:rPr>
          <w:rFonts w:ascii="Calibri" w:eastAsiaTheme="majorEastAsia" w:hAnsi="Calibri" w:cs="Calibri"/>
        </w:rPr>
        <w:t>.</w:t>
      </w:r>
    </w:p>
    <w:p w14:paraId="73AA37A3" w14:textId="3B2C5519" w:rsidR="009A7535" w:rsidRDefault="009A7535" w:rsidP="0050261C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911C10">
        <w:rPr>
          <w:rFonts w:eastAsia="Times New Roman"/>
          <w:b/>
          <w:sz w:val="24"/>
          <w:szCs w:val="24"/>
          <w:lang w:eastAsia="en-IE"/>
        </w:rPr>
        <w:t>6</w:t>
      </w:r>
      <w:r>
        <w:rPr>
          <w:rFonts w:eastAsia="Times New Roman"/>
          <w:b/>
          <w:sz w:val="24"/>
          <w:szCs w:val="24"/>
          <w:lang w:eastAsia="en-IE"/>
        </w:rPr>
        <w:t>: Specific Needs Comparison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673"/>
        <w:gridCol w:w="2245"/>
      </w:tblGrid>
      <w:tr w:rsidR="009A7535" w14:paraId="3A66F5E2" w14:textId="77777777" w:rsidTr="009A7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FFFFFF" w:themeColor="background1"/>
            </w:tcBorders>
            <w:hideMark/>
          </w:tcPr>
          <w:p w14:paraId="64256CC3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Specific Needs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hideMark/>
          </w:tcPr>
          <w:p w14:paraId="0ACA66A9" w14:textId="7F9D59D1" w:rsidR="009A7535" w:rsidRDefault="009A753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</w:t>
            </w:r>
            <w:r w:rsidR="006523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2023</w:t>
            </w:r>
          </w:p>
        </w:tc>
        <w:tc>
          <w:tcPr>
            <w:tcW w:w="1673" w:type="dxa"/>
            <w:tcBorders>
              <w:bottom w:val="single" w:sz="4" w:space="0" w:color="FFFFFF" w:themeColor="background1"/>
            </w:tcBorders>
            <w:hideMark/>
          </w:tcPr>
          <w:p w14:paraId="11D11180" w14:textId="54C7F597" w:rsidR="009A7535" w:rsidRDefault="009A753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</w:t>
            </w:r>
            <w:r w:rsidR="006523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2024</w:t>
            </w:r>
          </w:p>
        </w:tc>
        <w:tc>
          <w:tcPr>
            <w:tcW w:w="2245" w:type="dxa"/>
            <w:tcBorders>
              <w:bottom w:val="single" w:sz="4" w:space="0" w:color="FFFFFF" w:themeColor="background1"/>
            </w:tcBorders>
            <w:hideMark/>
          </w:tcPr>
          <w:p w14:paraId="1C992681" w14:textId="7B399A5C" w:rsidR="009A7535" w:rsidRDefault="009A753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Change Q</w:t>
            </w:r>
            <w:r w:rsidR="00911C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‘23- Q</w:t>
            </w:r>
            <w:r w:rsidR="00911C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‘24</w:t>
            </w:r>
          </w:p>
        </w:tc>
      </w:tr>
      <w:tr w:rsidR="009A7535" w14:paraId="4A464F29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F3C2D5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863628" w14:textId="1BE6DB46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5,</w:t>
            </w:r>
            <w:r w:rsidR="0071643F">
              <w:rPr>
                <w:rFonts w:ascii="Calibri" w:eastAsia="Times New Roman" w:hAnsi="Calibri" w:cs="Calibri"/>
                <w:color w:val="000000"/>
                <w:lang w:eastAsia="en-IE"/>
              </w:rPr>
              <w:t>468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BD848A9" w14:textId="34924A6E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5,</w:t>
            </w:r>
            <w:r w:rsidR="00652387">
              <w:rPr>
                <w:rFonts w:ascii="Calibri" w:eastAsia="Times New Roman" w:hAnsi="Calibri" w:cs="Calibri"/>
                <w:color w:val="000000"/>
                <w:lang w:eastAsia="en-IE"/>
              </w:rPr>
              <w:t>881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687B13" w14:textId="74EFE137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A4087B">
              <w:rPr>
                <w:rFonts w:ascii="Calibri" w:hAnsi="Calibri" w:cs="Calibri"/>
                <w:color w:val="006100"/>
              </w:rPr>
              <w:t>7.6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5A5F291B" w14:textId="77777777" w:rsidTr="009A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57A7C6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Distressed Client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6BCBFC2B" w14:textId="2075178C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2,</w:t>
            </w:r>
            <w:r w:rsidR="002466BE">
              <w:rPr>
                <w:rFonts w:ascii="Calibri" w:eastAsia="Times New Roman" w:hAnsi="Calibri" w:cs="Calibri"/>
                <w:color w:val="000000"/>
                <w:lang w:eastAsia="en-IE"/>
              </w:rPr>
              <w:t>815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0B95E207" w14:textId="2B919B08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3,</w:t>
            </w:r>
            <w:r w:rsidR="00652387">
              <w:rPr>
                <w:rFonts w:ascii="Calibri" w:eastAsia="Times New Roman" w:hAnsi="Calibri" w:cs="Calibri"/>
                <w:color w:val="000000"/>
                <w:lang w:eastAsia="en-IE"/>
              </w:rPr>
              <w:t>111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0CE94F" w14:textId="20D9F1E8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+1</w:t>
            </w:r>
            <w:r w:rsidR="00A4087B">
              <w:rPr>
                <w:rFonts w:ascii="Calibri" w:hAnsi="Calibri" w:cs="Calibri"/>
                <w:color w:val="006100"/>
              </w:rPr>
              <w:t>0.5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035A823F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FB8CD80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Literacy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3FB04F10" w14:textId="51B86F13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</w:t>
            </w:r>
            <w:r w:rsidR="002466BE">
              <w:rPr>
                <w:rFonts w:ascii="Calibri" w:eastAsia="Times New Roman" w:hAnsi="Calibri" w:cs="Calibri"/>
                <w:color w:val="000000"/>
                <w:lang w:eastAsia="en-IE"/>
              </w:rPr>
              <w:t>717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69D5EF0E" w14:textId="5DB7CFD7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2,0</w:t>
            </w:r>
            <w:r w:rsidR="00B608CF">
              <w:rPr>
                <w:rFonts w:ascii="Calibri" w:eastAsia="Times New Roman" w:hAnsi="Calibri" w:cs="Calibri"/>
                <w:color w:val="000000"/>
                <w:lang w:eastAsia="en-IE"/>
              </w:rPr>
              <w:t>89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40C88C" w14:textId="5EA9799A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A4087B">
              <w:rPr>
                <w:rFonts w:ascii="Calibri" w:hAnsi="Calibri" w:cs="Calibri"/>
                <w:color w:val="006100"/>
              </w:rPr>
              <w:t>21.7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0DEE31CD" w14:textId="77777777" w:rsidTr="009A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436721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Digital Literacy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ED83854" w14:textId="29497763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</w:t>
            </w:r>
            <w:r w:rsidR="002466BE">
              <w:rPr>
                <w:rFonts w:ascii="Calibri" w:eastAsia="Times New Roman" w:hAnsi="Calibri" w:cs="Calibri"/>
                <w:color w:val="000000"/>
                <w:lang w:eastAsia="en-IE"/>
              </w:rPr>
              <w:t>555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37F5B21A" w14:textId="111CB7C3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</w:t>
            </w:r>
            <w:r w:rsidR="00B608CF">
              <w:rPr>
                <w:rFonts w:ascii="Calibri" w:eastAsia="Times New Roman" w:hAnsi="Calibri" w:cs="Calibri"/>
                <w:color w:val="000000"/>
                <w:lang w:eastAsia="en-IE"/>
              </w:rPr>
              <w:t>811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7BE6323" w14:textId="23328BA2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A4087B">
              <w:rPr>
                <w:rFonts w:ascii="Calibri" w:hAnsi="Calibri" w:cs="Calibri"/>
                <w:color w:val="006100"/>
              </w:rPr>
              <w:t>16.5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753E13B5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5F93129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No online/ IT Access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3DFA166" w14:textId="3CF898CB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</w:t>
            </w:r>
            <w:r w:rsidR="002466BE">
              <w:rPr>
                <w:rFonts w:ascii="Calibri" w:eastAsia="Times New Roman" w:hAnsi="Calibri" w:cs="Calibri"/>
                <w:color w:val="000000"/>
                <w:lang w:eastAsia="en-IE"/>
              </w:rPr>
              <w:t>182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53FA609" w14:textId="1515C3B2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</w:t>
            </w:r>
            <w:r w:rsidR="0064480D">
              <w:rPr>
                <w:rFonts w:ascii="Calibri" w:eastAsia="Times New Roman" w:hAnsi="Calibri" w:cs="Calibri"/>
                <w:color w:val="000000"/>
                <w:lang w:eastAsia="en-IE"/>
              </w:rPr>
              <w:t>324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D19B43" w14:textId="1CC3508C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+1</w:t>
            </w:r>
            <w:r w:rsidR="00227BB8">
              <w:rPr>
                <w:rFonts w:ascii="Calibri" w:hAnsi="Calibri" w:cs="Calibri"/>
                <w:color w:val="006100"/>
              </w:rPr>
              <w:t>2.0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4BA3BA08" w14:textId="77777777" w:rsidTr="009A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86F3B3" w14:textId="4AB545AF" w:rsidR="009A7535" w:rsidRDefault="004843C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Physical 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93FF80F" w14:textId="100C355F" w:rsidR="009A7535" w:rsidRDefault="002466B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995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61C5614" w14:textId="13D31320" w:rsidR="009A7535" w:rsidRDefault="004843C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1,055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1F1635" w14:textId="37C72196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227BB8">
              <w:rPr>
                <w:rFonts w:ascii="Calibri" w:hAnsi="Calibri" w:cs="Calibri"/>
                <w:color w:val="006100"/>
              </w:rPr>
              <w:t>6.0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19B03808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24A962" w14:textId="273F216B" w:rsidR="009A7535" w:rsidRDefault="004843C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Mental Health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108304B3" w14:textId="4B41119D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802185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0D57F051" w14:textId="7CECB377" w:rsidR="009A7535" w:rsidRDefault="004843C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986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1AB0A21" w14:textId="628DD360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227BB8">
              <w:rPr>
                <w:rFonts w:ascii="Calibri" w:hAnsi="Calibri" w:cs="Calibri"/>
                <w:color w:val="006100"/>
              </w:rPr>
              <w:t>20.7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11F8D94A" w14:textId="77777777" w:rsidTr="009A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624C8C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Accompanied/ Supported by family member/ friend/representative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0E1F65D6" w14:textId="3A6ADEF0" w:rsidR="009A7535" w:rsidRDefault="0080218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715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65928773" w14:textId="272046D7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744E91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633645" w14:textId="77777777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</w:p>
          <w:p w14:paraId="1625D9B3" w14:textId="77777777" w:rsidR="009A7535" w:rsidRDefault="009A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</w:p>
          <w:p w14:paraId="451D5955" w14:textId="0C9BD930" w:rsidR="009A7535" w:rsidRDefault="009A7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227BB8">
              <w:rPr>
                <w:rFonts w:ascii="Calibri" w:hAnsi="Calibri" w:cs="Calibri"/>
                <w:color w:val="006100"/>
              </w:rPr>
              <w:t>13.6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2AB5035E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B4A355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36EAB73E" w14:textId="523662AB" w:rsidR="009A7535" w:rsidRDefault="0080218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391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65848450" w14:textId="1CE98F6C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="00744E91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7D4D325" w14:textId="45A221D5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227BB8">
              <w:rPr>
                <w:rFonts w:ascii="Calibri" w:hAnsi="Calibri" w:cs="Calibri"/>
                <w:color w:val="006100"/>
              </w:rPr>
              <w:t>12.0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31F0ED94" w14:textId="77777777" w:rsidTr="009A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4EE737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Challenging behaviour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709206A" w14:textId="47D1D78E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802185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142D7108" w14:textId="37F7E456" w:rsidR="009A7535" w:rsidRDefault="00744E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317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E55F050" w14:textId="74076B04" w:rsidR="009A7535" w:rsidRDefault="00227BB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 w:rsidRPr="00227BB8">
              <w:rPr>
                <w:rFonts w:ascii="Calibri" w:eastAsia="Times New Roman" w:hAnsi="Calibri" w:cs="Calibri"/>
                <w:color w:val="000000"/>
                <w:lang w:eastAsia="en-IE"/>
              </w:rPr>
              <w:t>-15.5</w:t>
            </w:r>
            <w:r w:rsidR="009A7535" w:rsidRPr="00227BB8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9A7535" w14:paraId="5F011EC7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2D7094E" w14:textId="3A1A212B" w:rsidR="009A7535" w:rsidRDefault="00744E9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Homeless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0E8CB434" w14:textId="0041CC91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802185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6E9F194" w14:textId="04EC0019" w:rsidR="009A7535" w:rsidRDefault="00744E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264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17E59E93" w14:textId="3F059F36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+1</w:t>
            </w:r>
            <w:r w:rsidR="00227BB8">
              <w:rPr>
                <w:rFonts w:ascii="Calibri" w:hAnsi="Calibri" w:cs="Calibri"/>
                <w:color w:val="006100"/>
              </w:rPr>
              <w:t>5.3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344B4FED" w14:textId="77777777" w:rsidTr="009A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906AD08" w14:textId="42871004" w:rsidR="009A7535" w:rsidRDefault="00744E9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Intellectual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028E599" w14:textId="72DDD8AE" w:rsidR="009A7535" w:rsidRDefault="00DF30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188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BFCE251" w14:textId="59CB97F4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744E91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0F831F10" w14:textId="08D9DF03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FF37C4">
              <w:rPr>
                <w:rFonts w:ascii="Calibri" w:hAnsi="Calibri" w:cs="Calibri"/>
                <w:color w:val="006100"/>
              </w:rPr>
              <w:t>34.0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79499DF2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4609E5" w14:textId="7D241FB5" w:rsidR="009A7535" w:rsidRDefault="00744E9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Lim</w:t>
            </w:r>
            <w:r w:rsidR="0001123B">
              <w:rPr>
                <w:rFonts w:ascii="Calibri" w:eastAsia="Times New Roman" w:hAnsi="Calibri" w:cs="Calibri"/>
                <w:color w:val="000000"/>
                <w:lang w:eastAsia="en-IE"/>
              </w:rPr>
              <w:t>ited availability due to caring responsibilities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1F66504" w14:textId="081A1E9C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="00DF30E5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48E2797" w14:textId="64B13294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911C10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C919D39" w14:textId="41D72AB1" w:rsidR="009A7535" w:rsidRDefault="009A753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+</w:t>
            </w:r>
            <w:r w:rsidR="00911C10">
              <w:rPr>
                <w:rFonts w:ascii="Calibri" w:hAnsi="Calibri" w:cs="Calibri"/>
                <w:color w:val="006100"/>
              </w:rPr>
              <w:t>54.0</w:t>
            </w:r>
            <w:r>
              <w:rPr>
                <w:rFonts w:ascii="Calibri" w:hAnsi="Calibri" w:cs="Calibri"/>
                <w:color w:val="006100"/>
              </w:rPr>
              <w:t>%</w:t>
            </w:r>
          </w:p>
        </w:tc>
      </w:tr>
      <w:tr w:rsidR="009A7535" w14:paraId="4FEB2CBF" w14:textId="77777777" w:rsidTr="009A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3D5210" w14:textId="77777777" w:rsidR="009A7535" w:rsidRDefault="009A75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Transport/ Access Difficulties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0382011D" w14:textId="33EA4C34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DF30E5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D716C16" w14:textId="7FB84DE5" w:rsidR="009A7535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81604C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34C4475" w14:textId="1ADE894B" w:rsidR="009A7535" w:rsidRPr="00FF37C4" w:rsidRDefault="009A7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F37C4">
              <w:rPr>
                <w:rFonts w:ascii="Calibri" w:eastAsia="Times New Roman" w:hAnsi="Calibri" w:cs="Calibri"/>
                <w:color w:val="000000"/>
                <w:lang w:eastAsia="en-IE"/>
              </w:rPr>
              <w:t>-</w:t>
            </w:r>
            <w:r w:rsidR="00FF37C4" w:rsidRPr="00FF37C4">
              <w:rPr>
                <w:rFonts w:ascii="Calibri" w:eastAsia="Times New Roman" w:hAnsi="Calibri" w:cs="Calibri"/>
                <w:color w:val="000000"/>
                <w:lang w:eastAsia="en-IE"/>
              </w:rPr>
              <w:t>3.0</w:t>
            </w:r>
            <w:r w:rsidRPr="00FF37C4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9A7535" w14:paraId="22EA183D" w14:textId="77777777" w:rsidTr="009A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C207920" w14:textId="64D441FA" w:rsidR="009A7535" w:rsidRDefault="0081604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Aural (Hearing)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4D37D04" w14:textId="58A3B666" w:rsidR="009A7535" w:rsidRDefault="00DF30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285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06FEBBA" w14:textId="00BA2F8D" w:rsidR="009A7535" w:rsidRDefault="008160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217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0B32046" w14:textId="5AD8CF8C" w:rsidR="009A7535" w:rsidRPr="00FF37C4" w:rsidRDefault="00FF37C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-23.9</w:t>
            </w:r>
            <w:r w:rsidR="009A7535" w:rsidRPr="00FF37C4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</w:tbl>
    <w:p w14:paraId="5D10547D" w14:textId="77777777" w:rsidR="000F45BF" w:rsidRDefault="000F45BF" w:rsidP="00653E3E">
      <w:pPr>
        <w:rPr>
          <w:rFonts w:ascii="Calibri" w:hAnsi="Calibri" w:cs="Calibri"/>
        </w:rPr>
      </w:pPr>
    </w:p>
    <w:p w14:paraId="1DEE7EF2" w14:textId="692E3843" w:rsidR="007231C2" w:rsidRDefault="00D864EC" w:rsidP="00653E3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43.3% of callers </w:t>
      </w:r>
      <w:r w:rsidR="009E6563">
        <w:rPr>
          <w:rFonts w:ascii="Calibri" w:hAnsi="Calibri" w:cs="Calibri"/>
        </w:rPr>
        <w:t>spent 10 minutes or under with Information Officers</w:t>
      </w:r>
      <w:r w:rsidR="00EE65ED">
        <w:rPr>
          <w:rFonts w:ascii="Calibri" w:hAnsi="Calibri" w:cs="Calibri"/>
        </w:rPr>
        <w:t>.</w:t>
      </w:r>
      <w:r w:rsidR="00314BFB">
        <w:rPr>
          <w:rFonts w:ascii="Calibri" w:hAnsi="Calibri" w:cs="Calibri"/>
        </w:rPr>
        <w:t xml:space="preserve"> 37.2% of callers spent between 11 and </w:t>
      </w:r>
      <w:r w:rsidR="007E1585">
        <w:rPr>
          <w:rFonts w:ascii="Calibri" w:hAnsi="Calibri" w:cs="Calibri"/>
        </w:rPr>
        <w:t>20 minutes</w:t>
      </w:r>
      <w:r w:rsidR="00915D22">
        <w:rPr>
          <w:rFonts w:ascii="Calibri" w:hAnsi="Calibri" w:cs="Calibri"/>
        </w:rPr>
        <w:t xml:space="preserve"> and 16% spent between 21-40 minutes</w:t>
      </w:r>
      <w:r w:rsidR="00B903AF">
        <w:rPr>
          <w:rFonts w:ascii="Calibri" w:hAnsi="Calibri" w:cs="Calibri"/>
        </w:rPr>
        <w:t xml:space="preserve">. 3.1% spent between 41-90 minutes and only 0.3% of callers </w:t>
      </w:r>
      <w:r w:rsidR="007E1585">
        <w:rPr>
          <w:rFonts w:ascii="Calibri" w:hAnsi="Calibri" w:cs="Calibri"/>
        </w:rPr>
        <w:t>spent over 90 minutes.</w:t>
      </w:r>
      <w:r w:rsidR="00BF51A0">
        <w:rPr>
          <w:rFonts w:ascii="Calibri" w:hAnsi="Calibri" w:cs="Calibri"/>
        </w:rPr>
        <w:t xml:space="preserve"> </w:t>
      </w:r>
    </w:p>
    <w:p w14:paraId="5EE81646" w14:textId="1D1EADF8" w:rsidR="000F45BF" w:rsidRPr="00E700AD" w:rsidRDefault="00826E10" w:rsidP="00E700AD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E700AD">
        <w:rPr>
          <w:rFonts w:eastAsia="Times New Roman"/>
          <w:b/>
          <w:sz w:val="24"/>
          <w:szCs w:val="24"/>
          <w:lang w:eastAsia="en-IE"/>
        </w:rPr>
        <w:t>Chart 1: Time Spent with caller breakdown</w:t>
      </w:r>
    </w:p>
    <w:p w14:paraId="373684BE" w14:textId="77777777" w:rsidR="000F45BF" w:rsidRDefault="006048FD" w:rsidP="00653E3E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CAF6001" wp14:editId="6F03049E">
            <wp:extent cx="4572000" cy="2743200"/>
            <wp:effectExtent l="0" t="0" r="0" b="0"/>
            <wp:docPr id="16101681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6023C9-A2BF-AB4B-78A7-EA69259994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B762C2" w14:textId="5A4509B8" w:rsidR="00A54068" w:rsidRPr="00E700AD" w:rsidRDefault="00A54068" w:rsidP="00E700AD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E700AD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911C10">
        <w:rPr>
          <w:rFonts w:eastAsia="Times New Roman"/>
          <w:b/>
          <w:sz w:val="24"/>
          <w:szCs w:val="24"/>
          <w:lang w:eastAsia="en-IE"/>
        </w:rPr>
        <w:t>7</w:t>
      </w:r>
      <w:r w:rsidRPr="00E700AD">
        <w:rPr>
          <w:rFonts w:eastAsia="Times New Roman"/>
          <w:b/>
          <w:sz w:val="24"/>
          <w:szCs w:val="24"/>
          <w:lang w:eastAsia="en-IE"/>
        </w:rPr>
        <w:t xml:space="preserve">: Top payments/ schemes versus </w:t>
      </w:r>
      <w:r w:rsidR="00E700AD" w:rsidRPr="00E700AD">
        <w:rPr>
          <w:rFonts w:eastAsia="Times New Roman"/>
          <w:b/>
          <w:sz w:val="24"/>
          <w:szCs w:val="24"/>
          <w:lang w:eastAsia="en-IE"/>
        </w:rPr>
        <w:t>time spent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A54068" w14:paraId="48340CF2" w14:textId="77777777" w:rsidTr="00A54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11309F03" w14:textId="77777777" w:rsidR="00A54068" w:rsidRDefault="00A54068" w:rsidP="00A54068">
            <w:pPr>
              <w:rPr>
                <w:rFonts w:ascii="Calibri" w:hAnsi="Calibri" w:cs="Calibri"/>
              </w:rPr>
            </w:pPr>
          </w:p>
        </w:tc>
        <w:tc>
          <w:tcPr>
            <w:tcW w:w="2295" w:type="dxa"/>
          </w:tcPr>
          <w:p w14:paraId="1150E72C" w14:textId="344ED62A" w:rsidR="00A54068" w:rsidRDefault="00A54068" w:rsidP="00A54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295" w:type="dxa"/>
          </w:tcPr>
          <w:p w14:paraId="67C1357C" w14:textId="4F7AE126" w:rsidR="00A54068" w:rsidRDefault="00A54068" w:rsidP="00A54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2295" w:type="dxa"/>
          </w:tcPr>
          <w:p w14:paraId="7A2DC038" w14:textId="381C4B1E" w:rsidR="00A54068" w:rsidRDefault="00A54068" w:rsidP="00A54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A54068" w14:paraId="4DCC4716" w14:textId="77777777" w:rsidTr="00D6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0FE16946" w14:textId="1E8721DE" w:rsidR="00A54068" w:rsidRPr="0050261C" w:rsidRDefault="00A54068" w:rsidP="00502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 minutes and under</w:t>
            </w:r>
          </w:p>
        </w:tc>
        <w:tc>
          <w:tcPr>
            <w:tcW w:w="2295" w:type="dxa"/>
          </w:tcPr>
          <w:p w14:paraId="55904F3C" w14:textId="68DA0DD0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Medical Card </w:t>
            </w:r>
          </w:p>
        </w:tc>
        <w:tc>
          <w:tcPr>
            <w:tcW w:w="2295" w:type="dxa"/>
          </w:tcPr>
          <w:p w14:paraId="1C3CA277" w14:textId="1050E584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 Allowance</w:t>
            </w:r>
          </w:p>
        </w:tc>
        <w:tc>
          <w:tcPr>
            <w:tcW w:w="2295" w:type="dxa"/>
          </w:tcPr>
          <w:p w14:paraId="5D3177C2" w14:textId="0A81C396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</w:tr>
      <w:tr w:rsidR="00A54068" w14:paraId="03A8A754" w14:textId="77777777" w:rsidTr="00A54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30CFE944" w14:textId="2F3901AC" w:rsidR="00A54068" w:rsidRPr="0050261C" w:rsidRDefault="00A54068" w:rsidP="00502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11-20 minutes</w:t>
            </w:r>
          </w:p>
        </w:tc>
        <w:tc>
          <w:tcPr>
            <w:tcW w:w="2295" w:type="dxa"/>
          </w:tcPr>
          <w:p w14:paraId="33349A1D" w14:textId="3901F575" w:rsidR="00A54068" w:rsidRPr="0050261C" w:rsidRDefault="00A54068" w:rsidP="0050261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Medical Card </w:t>
            </w:r>
          </w:p>
        </w:tc>
        <w:tc>
          <w:tcPr>
            <w:tcW w:w="2295" w:type="dxa"/>
          </w:tcPr>
          <w:p w14:paraId="04091E29" w14:textId="1B325868" w:rsidR="00A54068" w:rsidRPr="0050261C" w:rsidRDefault="00A54068" w:rsidP="0050261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2295" w:type="dxa"/>
          </w:tcPr>
          <w:p w14:paraId="6CD6B347" w14:textId="75764B85" w:rsidR="00A54068" w:rsidRPr="0050261C" w:rsidRDefault="00A54068" w:rsidP="0050261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</w:tr>
      <w:tr w:rsidR="00A54068" w14:paraId="24A33B2F" w14:textId="77777777" w:rsidTr="00A5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7827F0CB" w14:textId="563C20EE" w:rsidR="00A54068" w:rsidRPr="0050261C" w:rsidRDefault="00A54068" w:rsidP="00502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21-40 minutes</w:t>
            </w:r>
          </w:p>
        </w:tc>
        <w:tc>
          <w:tcPr>
            <w:tcW w:w="2295" w:type="dxa"/>
          </w:tcPr>
          <w:p w14:paraId="2F4D8D30" w14:textId="5BC82ECA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295" w:type="dxa"/>
          </w:tcPr>
          <w:p w14:paraId="4D2E4493" w14:textId="29B7DD8A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2295" w:type="dxa"/>
          </w:tcPr>
          <w:p w14:paraId="0309A8F4" w14:textId="01F9F45F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Medical Card </w:t>
            </w:r>
          </w:p>
        </w:tc>
      </w:tr>
      <w:tr w:rsidR="00A54068" w14:paraId="1910922D" w14:textId="77777777" w:rsidTr="00A54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252249CD" w14:textId="52A4F57E" w:rsidR="00A54068" w:rsidRPr="0050261C" w:rsidRDefault="00A54068" w:rsidP="00502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41-90 minutes</w:t>
            </w:r>
          </w:p>
        </w:tc>
        <w:tc>
          <w:tcPr>
            <w:tcW w:w="2295" w:type="dxa"/>
          </w:tcPr>
          <w:p w14:paraId="2F761225" w14:textId="1D6AB439" w:rsidR="00A54068" w:rsidRPr="0050261C" w:rsidRDefault="00A54068" w:rsidP="0050261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295" w:type="dxa"/>
          </w:tcPr>
          <w:p w14:paraId="5FA2D2A8" w14:textId="2190B332" w:rsidR="00A54068" w:rsidRPr="0050261C" w:rsidRDefault="00A54068" w:rsidP="0050261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Medical Card </w:t>
            </w:r>
          </w:p>
        </w:tc>
        <w:tc>
          <w:tcPr>
            <w:tcW w:w="2295" w:type="dxa"/>
          </w:tcPr>
          <w:p w14:paraId="0478603C" w14:textId="47373964" w:rsidR="00A54068" w:rsidRPr="0050261C" w:rsidRDefault="00A54068" w:rsidP="0050261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</w:tr>
      <w:tr w:rsidR="00A54068" w14:paraId="24C0FDC3" w14:textId="77777777" w:rsidTr="00A5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2BC47A8D" w14:textId="2CA17BF5" w:rsidR="00A54068" w:rsidRPr="0050261C" w:rsidRDefault="00A54068" w:rsidP="00502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91 minutes and over</w:t>
            </w:r>
          </w:p>
        </w:tc>
        <w:tc>
          <w:tcPr>
            <w:tcW w:w="2295" w:type="dxa"/>
          </w:tcPr>
          <w:p w14:paraId="2B9E4186" w14:textId="4A1D3C8C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Medical Card </w:t>
            </w:r>
          </w:p>
        </w:tc>
        <w:tc>
          <w:tcPr>
            <w:tcW w:w="2295" w:type="dxa"/>
          </w:tcPr>
          <w:p w14:paraId="71448466" w14:textId="5EA898D4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295" w:type="dxa"/>
          </w:tcPr>
          <w:p w14:paraId="6C982B46" w14:textId="04FBF248" w:rsidR="00A54068" w:rsidRPr="0050261C" w:rsidRDefault="00A54068" w:rsidP="005026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</w:tr>
    </w:tbl>
    <w:p w14:paraId="6CD1B2CD" w14:textId="01C1A3A3" w:rsidR="00A54068" w:rsidRDefault="00A54068" w:rsidP="00653E3E">
      <w:pPr>
        <w:rPr>
          <w:rFonts w:ascii="Calibri" w:hAnsi="Calibri" w:cs="Calibri"/>
        </w:rPr>
        <w:sectPr w:rsidR="00A54068" w:rsidSect="00DF46AD">
          <w:headerReference w:type="default" r:id="rId14"/>
          <w:footerReference w:type="default" r:id="rId15"/>
          <w:pgSz w:w="11906" w:h="16838"/>
          <w:pgMar w:top="1440" w:right="1440" w:bottom="1440" w:left="1276" w:header="709" w:footer="709" w:gutter="0"/>
          <w:cols w:space="708"/>
          <w:docGrid w:linePitch="360"/>
        </w:sectPr>
      </w:pPr>
    </w:p>
    <w:p w14:paraId="6EB3B673" w14:textId="7C721F4A" w:rsidR="00B60276" w:rsidRPr="00104174" w:rsidRDefault="00DF46AD" w:rsidP="00DF46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</w:t>
      </w:r>
      <w:r w:rsidR="00B60276" w:rsidRPr="00104174">
        <w:rPr>
          <w:b/>
          <w:sz w:val="28"/>
          <w:szCs w:val="28"/>
        </w:rPr>
        <w:t xml:space="preserve">uery Summary </w:t>
      </w:r>
    </w:p>
    <w:p w14:paraId="0590B721" w14:textId="7C1F9532" w:rsidR="000A6757" w:rsidRPr="00104174" w:rsidRDefault="000D7AE9" w:rsidP="00AA44AC">
      <w:pPr>
        <w:jc w:val="both"/>
        <w:rPr>
          <w:rFonts w:ascii="Calibri" w:hAnsi="Calibri" w:cs="Calibri"/>
        </w:rPr>
        <w:sectPr w:rsidR="000A6757" w:rsidRPr="00104174" w:rsidSect="00EE6EF0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  <w:r w:rsidRPr="00104174">
        <w:rPr>
          <w:rFonts w:ascii="Calibri" w:hAnsi="Calibri" w:cs="Calibri"/>
        </w:rPr>
        <w:t xml:space="preserve">Citizen Information </w:t>
      </w:r>
      <w:r w:rsidR="007A761D" w:rsidRPr="00104174">
        <w:rPr>
          <w:rFonts w:ascii="Calibri" w:hAnsi="Calibri" w:cs="Calibri"/>
        </w:rPr>
        <w:t>S</w:t>
      </w:r>
      <w:r w:rsidR="00B60276" w:rsidRPr="00104174">
        <w:rPr>
          <w:rFonts w:ascii="Calibri" w:hAnsi="Calibri" w:cs="Calibri"/>
        </w:rPr>
        <w:t xml:space="preserve">ervices </w:t>
      </w:r>
      <w:r w:rsidR="00AA44AC" w:rsidRPr="00104174">
        <w:rPr>
          <w:rFonts w:ascii="Calibri" w:hAnsi="Calibri" w:cs="Calibri"/>
        </w:rPr>
        <w:t xml:space="preserve">(CISs) </w:t>
      </w:r>
      <w:r w:rsidR="00B60276" w:rsidRPr="00104174">
        <w:rPr>
          <w:rFonts w:ascii="Calibri" w:hAnsi="Calibri" w:cs="Calibri"/>
        </w:rPr>
        <w:t>dealt with</w:t>
      </w:r>
      <w:r w:rsidR="003830F7" w:rsidRPr="00104174">
        <w:rPr>
          <w:rFonts w:ascii="Calibri" w:hAnsi="Calibri" w:cs="Calibri"/>
        </w:rPr>
        <w:t xml:space="preserve"> </w:t>
      </w:r>
      <w:r w:rsidR="003830F7" w:rsidRPr="00104174">
        <w:rPr>
          <w:rFonts w:ascii="Calibri" w:hAnsi="Calibri" w:cs="Calibri"/>
          <w:b/>
          <w:bCs/>
        </w:rPr>
        <w:t>193,1</w:t>
      </w:r>
      <w:r w:rsidR="00E2087F" w:rsidRPr="00104174">
        <w:rPr>
          <w:rFonts w:ascii="Calibri" w:hAnsi="Calibri" w:cs="Calibri"/>
          <w:b/>
          <w:bCs/>
        </w:rPr>
        <w:t>55</w:t>
      </w:r>
      <w:r w:rsidR="000A6757" w:rsidRPr="00104174">
        <w:rPr>
          <w:rFonts w:ascii="Calibri" w:hAnsi="Calibri" w:cs="Calibri"/>
          <w:b/>
          <w:bCs/>
        </w:rPr>
        <w:t xml:space="preserve"> queries</w:t>
      </w:r>
      <w:r w:rsidR="000A6757" w:rsidRPr="00104174">
        <w:rPr>
          <w:rFonts w:ascii="Calibri" w:hAnsi="Calibri" w:cs="Calibri"/>
        </w:rPr>
        <w:t xml:space="preserve"> during Q</w:t>
      </w:r>
      <w:r w:rsidR="003830F7" w:rsidRPr="00104174">
        <w:rPr>
          <w:rFonts w:ascii="Calibri" w:hAnsi="Calibri" w:cs="Calibri"/>
        </w:rPr>
        <w:t>2</w:t>
      </w:r>
      <w:r w:rsidR="000A6757" w:rsidRPr="00104174">
        <w:rPr>
          <w:rFonts w:ascii="Calibri" w:hAnsi="Calibri" w:cs="Calibri"/>
        </w:rPr>
        <w:t xml:space="preserve"> 202</w:t>
      </w:r>
      <w:r w:rsidR="00E2087F" w:rsidRPr="00104174">
        <w:rPr>
          <w:rFonts w:ascii="Calibri" w:hAnsi="Calibri" w:cs="Calibri"/>
        </w:rPr>
        <w:t>4</w:t>
      </w:r>
      <w:r w:rsidR="00C0783D" w:rsidRPr="00104174">
        <w:rPr>
          <w:rFonts w:ascii="Calibri" w:hAnsi="Calibri" w:cs="Calibri"/>
        </w:rPr>
        <w:t>,</w:t>
      </w:r>
      <w:r w:rsidR="003830F7" w:rsidRPr="00104174">
        <w:rPr>
          <w:rFonts w:ascii="Calibri" w:hAnsi="Calibri" w:cs="Calibri"/>
        </w:rPr>
        <w:t xml:space="preserve"> a </w:t>
      </w:r>
      <w:r w:rsidR="00E2087F" w:rsidRPr="00104174">
        <w:rPr>
          <w:rFonts w:ascii="Calibri" w:hAnsi="Calibri" w:cs="Calibri"/>
        </w:rPr>
        <w:t>comparable level to</w:t>
      </w:r>
      <w:r w:rsidR="003830F7" w:rsidRPr="00104174">
        <w:rPr>
          <w:rFonts w:ascii="Calibri" w:hAnsi="Calibri" w:cs="Calibri"/>
        </w:rPr>
        <w:t xml:space="preserve"> Q</w:t>
      </w:r>
      <w:r w:rsidR="005C60D0" w:rsidRPr="00104174">
        <w:rPr>
          <w:rFonts w:ascii="Calibri" w:hAnsi="Calibri" w:cs="Calibri"/>
        </w:rPr>
        <w:t>2</w:t>
      </w:r>
      <w:r w:rsidR="003830F7" w:rsidRPr="00104174">
        <w:rPr>
          <w:rFonts w:ascii="Calibri" w:hAnsi="Calibri" w:cs="Calibri"/>
        </w:rPr>
        <w:t xml:space="preserve"> 202</w:t>
      </w:r>
      <w:r w:rsidR="00E2087F" w:rsidRPr="00104174">
        <w:rPr>
          <w:rFonts w:ascii="Calibri" w:hAnsi="Calibri" w:cs="Calibri"/>
        </w:rPr>
        <w:t>3</w:t>
      </w:r>
      <w:r w:rsidR="009F63D0" w:rsidRPr="00104174">
        <w:rPr>
          <w:rFonts w:ascii="Calibri" w:hAnsi="Calibri" w:cs="Calibri"/>
        </w:rPr>
        <w:t>.</w:t>
      </w:r>
      <w:r w:rsidR="003269F0" w:rsidRPr="00104174">
        <w:rPr>
          <w:rFonts w:ascii="Calibri" w:hAnsi="Calibri" w:cs="Calibri"/>
        </w:rPr>
        <w:t xml:space="preserve"> </w:t>
      </w:r>
      <w:r w:rsidR="00A06E28">
        <w:rPr>
          <w:rFonts w:ascii="Calibri" w:hAnsi="Calibri" w:cs="Calibri"/>
        </w:rPr>
        <w:t>The ratio of call</w:t>
      </w:r>
      <w:r w:rsidR="007C4F3A">
        <w:rPr>
          <w:rFonts w:ascii="Calibri" w:hAnsi="Calibri" w:cs="Calibri"/>
        </w:rPr>
        <w:t>ers to queries</w:t>
      </w:r>
      <w:r w:rsidR="00A06E28">
        <w:rPr>
          <w:rFonts w:ascii="Calibri" w:hAnsi="Calibri" w:cs="Calibri"/>
        </w:rPr>
        <w:t xml:space="preserve"> is 1.95, down from 2.0 in Q2 2023. </w:t>
      </w:r>
      <w:r w:rsidR="009F63D0" w:rsidRPr="00104174">
        <w:rPr>
          <w:rFonts w:ascii="Calibri" w:hAnsi="Calibri" w:cs="Calibri"/>
        </w:rPr>
        <w:t xml:space="preserve">Of the </w:t>
      </w:r>
      <w:r w:rsidR="00C93CD9" w:rsidRPr="00104174">
        <w:rPr>
          <w:rFonts w:ascii="Calibri" w:hAnsi="Calibri" w:cs="Calibri"/>
        </w:rPr>
        <w:t xml:space="preserve">total </w:t>
      </w:r>
      <w:r w:rsidR="00B60276" w:rsidRPr="00104174">
        <w:rPr>
          <w:rFonts w:ascii="Calibri" w:hAnsi="Calibri" w:cs="Calibri"/>
        </w:rPr>
        <w:t xml:space="preserve">queries recorded, </w:t>
      </w:r>
      <w:r w:rsidR="00D77730" w:rsidRPr="00104174">
        <w:rPr>
          <w:rFonts w:ascii="Calibri" w:hAnsi="Calibri" w:cs="Calibri"/>
        </w:rPr>
        <w:t>4</w:t>
      </w:r>
      <w:r w:rsidR="00E2087F" w:rsidRPr="00104174">
        <w:rPr>
          <w:rFonts w:ascii="Calibri" w:hAnsi="Calibri" w:cs="Calibri"/>
        </w:rPr>
        <w:t>5</w:t>
      </w:r>
      <w:r w:rsidR="00041720" w:rsidRPr="00104174">
        <w:rPr>
          <w:rFonts w:ascii="Calibri" w:hAnsi="Calibri" w:cs="Calibri"/>
        </w:rPr>
        <w:t xml:space="preserve">% </w:t>
      </w:r>
      <w:r w:rsidR="00B60276" w:rsidRPr="00104174">
        <w:rPr>
          <w:rFonts w:ascii="Calibri" w:hAnsi="Calibri" w:cs="Calibri"/>
        </w:rPr>
        <w:t xml:space="preserve">were </w:t>
      </w:r>
      <w:r w:rsidR="005C5760" w:rsidRPr="00104174">
        <w:rPr>
          <w:rFonts w:ascii="Calibri" w:hAnsi="Calibri" w:cs="Calibri"/>
        </w:rPr>
        <w:t xml:space="preserve">related to </w:t>
      </w:r>
      <w:r w:rsidR="00B60276" w:rsidRPr="00104174">
        <w:rPr>
          <w:rFonts w:ascii="Calibri" w:hAnsi="Calibri" w:cs="Calibri"/>
          <w:b/>
          <w:bCs/>
        </w:rPr>
        <w:t>Social Welfare</w:t>
      </w:r>
      <w:r w:rsidR="00B60276" w:rsidRPr="00104174">
        <w:rPr>
          <w:rFonts w:ascii="Calibri" w:hAnsi="Calibri" w:cs="Calibri"/>
        </w:rPr>
        <w:t xml:space="preserve"> rights and entitlements</w:t>
      </w:r>
      <w:r w:rsidR="007F4BED" w:rsidRPr="00104174">
        <w:rPr>
          <w:rFonts w:ascii="Calibri" w:hAnsi="Calibri" w:cs="Calibri"/>
        </w:rPr>
        <w:t>. The next most queried categor</w:t>
      </w:r>
      <w:r w:rsidR="00A06E28">
        <w:rPr>
          <w:rFonts w:ascii="Calibri" w:hAnsi="Calibri" w:cs="Calibri"/>
        </w:rPr>
        <w:t xml:space="preserve">ies </w:t>
      </w:r>
      <w:r w:rsidR="00102F78">
        <w:rPr>
          <w:rFonts w:ascii="Calibri" w:hAnsi="Calibri" w:cs="Calibri"/>
        </w:rPr>
        <w:t>were</w:t>
      </w:r>
      <w:r w:rsidR="00102F78" w:rsidRPr="00104174">
        <w:rPr>
          <w:rFonts w:ascii="Calibri" w:hAnsi="Calibri" w:cs="Calibri"/>
        </w:rPr>
        <w:t xml:space="preserve"> </w:t>
      </w:r>
      <w:r w:rsidR="00151717" w:rsidRPr="00104174">
        <w:rPr>
          <w:rFonts w:ascii="Calibri" w:hAnsi="Calibri" w:cs="Calibri"/>
          <w:b/>
          <w:bCs/>
        </w:rPr>
        <w:t>Housing</w:t>
      </w:r>
      <w:r w:rsidR="00052939" w:rsidRPr="00104174">
        <w:rPr>
          <w:rFonts w:ascii="Calibri" w:hAnsi="Calibri" w:cs="Calibri"/>
        </w:rPr>
        <w:t>,</w:t>
      </w:r>
      <w:r w:rsidR="000155CD" w:rsidRPr="00104174">
        <w:rPr>
          <w:rFonts w:ascii="Calibri" w:hAnsi="Calibri" w:cs="Calibri"/>
        </w:rPr>
        <w:t xml:space="preserve"> </w:t>
      </w:r>
      <w:r w:rsidR="009F63D0" w:rsidRPr="00104174">
        <w:rPr>
          <w:rFonts w:ascii="Calibri" w:hAnsi="Calibri" w:cs="Calibri"/>
        </w:rPr>
        <w:t>1</w:t>
      </w:r>
      <w:r w:rsidR="005C60D0" w:rsidRPr="00104174">
        <w:rPr>
          <w:rFonts w:ascii="Calibri" w:hAnsi="Calibri" w:cs="Calibri"/>
        </w:rPr>
        <w:t>1.</w:t>
      </w:r>
      <w:r w:rsidR="00E2087F" w:rsidRPr="00104174">
        <w:rPr>
          <w:rFonts w:ascii="Calibri" w:hAnsi="Calibri" w:cs="Calibri"/>
        </w:rPr>
        <w:t>2</w:t>
      </w:r>
      <w:r w:rsidR="000155CD" w:rsidRPr="00104174">
        <w:rPr>
          <w:rFonts w:ascii="Calibri" w:hAnsi="Calibri" w:cs="Calibri"/>
        </w:rPr>
        <w:t>%</w:t>
      </w:r>
      <w:r w:rsidR="00C0283A" w:rsidRPr="00104174">
        <w:rPr>
          <w:rFonts w:ascii="Calibri" w:hAnsi="Calibri" w:cs="Calibri"/>
        </w:rPr>
        <w:t>,</w:t>
      </w:r>
      <w:r w:rsidR="00EE6EF0" w:rsidRPr="00104174">
        <w:rPr>
          <w:rFonts w:ascii="Calibri" w:hAnsi="Calibri" w:cs="Calibri"/>
        </w:rPr>
        <w:t xml:space="preserve"> </w:t>
      </w:r>
      <w:r w:rsidR="00151717" w:rsidRPr="00104174">
        <w:rPr>
          <w:rFonts w:ascii="Calibri" w:hAnsi="Calibri" w:cs="Calibri"/>
        </w:rPr>
        <w:t xml:space="preserve">and </w:t>
      </w:r>
      <w:r w:rsidR="00151717" w:rsidRPr="00104174">
        <w:rPr>
          <w:rFonts w:ascii="Calibri" w:hAnsi="Calibri" w:cs="Calibri"/>
          <w:b/>
          <w:bCs/>
        </w:rPr>
        <w:t>Health</w:t>
      </w:r>
      <w:r w:rsidR="00052939" w:rsidRPr="00104174">
        <w:rPr>
          <w:rFonts w:ascii="Calibri" w:hAnsi="Calibri" w:cs="Calibri"/>
        </w:rPr>
        <w:t>,</w:t>
      </w:r>
      <w:r w:rsidR="000155CD" w:rsidRPr="00104174">
        <w:rPr>
          <w:rFonts w:ascii="Calibri" w:hAnsi="Calibri" w:cs="Calibri"/>
        </w:rPr>
        <w:t xml:space="preserve"> </w:t>
      </w:r>
      <w:r w:rsidR="00E2087F" w:rsidRPr="00104174">
        <w:rPr>
          <w:rFonts w:ascii="Calibri" w:hAnsi="Calibri" w:cs="Calibri"/>
        </w:rPr>
        <w:t>8.3</w:t>
      </w:r>
      <w:r w:rsidR="000155CD" w:rsidRPr="00104174">
        <w:rPr>
          <w:rFonts w:ascii="Calibri" w:hAnsi="Calibri" w:cs="Calibri"/>
        </w:rPr>
        <w:t>%</w:t>
      </w:r>
      <w:r w:rsidR="00C93CD9" w:rsidRPr="00104174">
        <w:rPr>
          <w:rFonts w:ascii="Calibri" w:hAnsi="Calibri" w:cs="Calibri"/>
        </w:rPr>
        <w:t xml:space="preserve">. </w:t>
      </w:r>
      <w:r w:rsidR="00B60276" w:rsidRPr="00104174">
        <w:rPr>
          <w:rFonts w:ascii="Calibri" w:hAnsi="Calibri" w:cs="Calibri"/>
        </w:rPr>
        <w:t xml:space="preserve">Table </w:t>
      </w:r>
      <w:r w:rsidR="00911C10">
        <w:rPr>
          <w:rFonts w:ascii="Calibri" w:hAnsi="Calibri" w:cs="Calibri"/>
        </w:rPr>
        <w:t>8</w:t>
      </w:r>
      <w:r w:rsidR="00B60276" w:rsidRPr="00104174">
        <w:rPr>
          <w:rFonts w:ascii="Calibri" w:hAnsi="Calibri" w:cs="Calibri"/>
        </w:rPr>
        <w:t xml:space="preserve">, below, sets out the number of queries received across </w:t>
      </w:r>
      <w:r w:rsidR="00102F78">
        <w:rPr>
          <w:rFonts w:ascii="Calibri" w:hAnsi="Calibri" w:cs="Calibri"/>
        </w:rPr>
        <w:t>‘</w:t>
      </w:r>
      <w:r w:rsidR="007078D3" w:rsidRPr="00104174">
        <w:rPr>
          <w:rFonts w:ascii="Calibri" w:hAnsi="Calibri" w:cs="Calibri"/>
        </w:rPr>
        <w:t>parent</w:t>
      </w:r>
      <w:r w:rsidR="00102F78">
        <w:rPr>
          <w:rFonts w:ascii="Calibri" w:hAnsi="Calibri" w:cs="Calibri"/>
        </w:rPr>
        <w:t>’</w:t>
      </w:r>
      <w:r w:rsidR="007078D3" w:rsidRPr="00104174">
        <w:rPr>
          <w:rFonts w:ascii="Calibri" w:hAnsi="Calibri" w:cs="Calibri"/>
        </w:rPr>
        <w:t xml:space="preserve"> </w:t>
      </w:r>
      <w:r w:rsidR="00B60276" w:rsidRPr="00104174">
        <w:rPr>
          <w:rFonts w:ascii="Calibri" w:hAnsi="Calibri" w:cs="Calibri"/>
        </w:rPr>
        <w:t>category areas</w:t>
      </w:r>
      <w:r w:rsidR="00B811B4" w:rsidRPr="00104174">
        <w:rPr>
          <w:rFonts w:ascii="Calibri" w:hAnsi="Calibri" w:cs="Calibri"/>
        </w:rPr>
        <w:t xml:space="preserve"> in Quarter </w:t>
      </w:r>
      <w:r w:rsidR="005C60D0" w:rsidRPr="00104174">
        <w:rPr>
          <w:rFonts w:ascii="Calibri" w:hAnsi="Calibri" w:cs="Calibri"/>
        </w:rPr>
        <w:t>2</w:t>
      </w:r>
      <w:r w:rsidR="00B811B4" w:rsidRPr="00104174">
        <w:rPr>
          <w:rFonts w:ascii="Calibri" w:hAnsi="Calibri" w:cs="Calibri"/>
        </w:rPr>
        <w:t xml:space="preserve"> 202</w:t>
      </w:r>
      <w:r w:rsidR="00E2087F" w:rsidRPr="00104174">
        <w:rPr>
          <w:rFonts w:ascii="Calibri" w:hAnsi="Calibri" w:cs="Calibri"/>
        </w:rPr>
        <w:t>4</w:t>
      </w:r>
      <w:r w:rsidR="00B60276" w:rsidRPr="00104174">
        <w:rPr>
          <w:rFonts w:ascii="Calibri" w:hAnsi="Calibri" w:cs="Calibri"/>
        </w:rPr>
        <w:t xml:space="preserve">.  Table </w:t>
      </w:r>
      <w:r w:rsidR="00911C10">
        <w:rPr>
          <w:rFonts w:ascii="Calibri" w:hAnsi="Calibri" w:cs="Calibri"/>
        </w:rPr>
        <w:t>9</w:t>
      </w:r>
      <w:r w:rsidR="00B60276" w:rsidRPr="00104174">
        <w:rPr>
          <w:rFonts w:ascii="Calibri" w:hAnsi="Calibri" w:cs="Calibri"/>
        </w:rPr>
        <w:t xml:space="preserve"> provides a break</w:t>
      </w:r>
      <w:r w:rsidR="007078D3" w:rsidRPr="00104174">
        <w:rPr>
          <w:rFonts w:ascii="Calibri" w:hAnsi="Calibri" w:cs="Calibri"/>
        </w:rPr>
        <w:t xml:space="preserve">down </w:t>
      </w:r>
      <w:r w:rsidR="00102F78" w:rsidRPr="00104174">
        <w:rPr>
          <w:rFonts w:ascii="Calibri" w:hAnsi="Calibri" w:cs="Calibri"/>
        </w:rPr>
        <w:t>o</w:t>
      </w:r>
      <w:r w:rsidR="00102F78">
        <w:rPr>
          <w:rFonts w:ascii="Calibri" w:hAnsi="Calibri" w:cs="Calibri"/>
        </w:rPr>
        <w:t>f</w:t>
      </w:r>
      <w:r w:rsidR="00102F78" w:rsidRPr="00104174">
        <w:rPr>
          <w:rFonts w:ascii="Calibri" w:hAnsi="Calibri" w:cs="Calibri"/>
        </w:rPr>
        <w:t xml:space="preserve"> </w:t>
      </w:r>
      <w:r w:rsidR="007078D3" w:rsidRPr="00104174">
        <w:rPr>
          <w:rFonts w:ascii="Calibri" w:hAnsi="Calibri" w:cs="Calibri"/>
        </w:rPr>
        <w:t>the</w:t>
      </w:r>
      <w:r w:rsidR="00B811B4" w:rsidRPr="00104174">
        <w:rPr>
          <w:rFonts w:ascii="Calibri" w:hAnsi="Calibri" w:cs="Calibri"/>
        </w:rPr>
        <w:t xml:space="preserve"> most queried</w:t>
      </w:r>
      <w:r w:rsidR="007078D3" w:rsidRPr="00104174">
        <w:rPr>
          <w:rFonts w:ascii="Calibri" w:hAnsi="Calibri" w:cs="Calibri"/>
        </w:rPr>
        <w:t xml:space="preserve"> single payments, </w:t>
      </w:r>
      <w:r w:rsidR="00B60276" w:rsidRPr="00104174">
        <w:rPr>
          <w:rFonts w:ascii="Calibri" w:hAnsi="Calibri" w:cs="Calibri"/>
        </w:rPr>
        <w:t xml:space="preserve">schemes </w:t>
      </w:r>
      <w:r w:rsidR="007078D3" w:rsidRPr="00104174">
        <w:rPr>
          <w:rFonts w:ascii="Calibri" w:hAnsi="Calibri" w:cs="Calibri"/>
        </w:rPr>
        <w:t xml:space="preserve">or entitlements </w:t>
      </w:r>
      <w:r w:rsidR="00B60276" w:rsidRPr="00104174">
        <w:rPr>
          <w:rFonts w:ascii="Calibri" w:hAnsi="Calibri" w:cs="Calibri"/>
        </w:rPr>
        <w:t>with</w:t>
      </w:r>
      <w:r w:rsidR="003830F7" w:rsidRPr="00104174">
        <w:rPr>
          <w:rFonts w:ascii="Calibri" w:hAnsi="Calibri" w:cs="Calibri"/>
        </w:rPr>
        <w:t xml:space="preserve"> </w:t>
      </w:r>
      <w:r w:rsidR="00B60276" w:rsidRPr="00104174">
        <w:rPr>
          <w:rFonts w:ascii="Calibri" w:hAnsi="Calibri" w:cs="Calibri"/>
        </w:rPr>
        <w:t>the highest number of queries</w:t>
      </w:r>
      <w:r w:rsidR="000A6757" w:rsidRPr="00104174">
        <w:rPr>
          <w:rFonts w:ascii="Calibri" w:hAnsi="Calibri" w:cs="Calibri"/>
        </w:rPr>
        <w:t xml:space="preserve"> overal</w:t>
      </w:r>
      <w:r w:rsidR="00151717" w:rsidRPr="00104174">
        <w:rPr>
          <w:rFonts w:ascii="Calibri" w:hAnsi="Calibri" w:cs="Calibri"/>
        </w:rPr>
        <w:t>l</w:t>
      </w:r>
      <w:r w:rsidR="005C60D0" w:rsidRPr="00104174">
        <w:rPr>
          <w:rFonts w:ascii="Calibri" w:hAnsi="Calibri" w:cs="Calibri"/>
        </w:rPr>
        <w:t xml:space="preserve"> in Quarter 2 202</w:t>
      </w:r>
      <w:r w:rsidR="00E2087F" w:rsidRPr="00104174">
        <w:rPr>
          <w:rFonts w:ascii="Calibri" w:hAnsi="Calibri" w:cs="Calibri"/>
        </w:rPr>
        <w:t>4</w:t>
      </w:r>
      <w:r w:rsidR="00151717" w:rsidRPr="00104174">
        <w:rPr>
          <w:rFonts w:ascii="Calibri" w:hAnsi="Calibri" w:cs="Calibri"/>
        </w:rPr>
        <w:t>.</w:t>
      </w:r>
    </w:p>
    <w:p w14:paraId="1B03AE70" w14:textId="0983438F" w:rsidR="000A6757" w:rsidRPr="00104174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104174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911C10">
        <w:rPr>
          <w:rFonts w:eastAsia="Times New Roman"/>
          <w:b/>
          <w:sz w:val="24"/>
          <w:szCs w:val="24"/>
          <w:lang w:eastAsia="en-IE"/>
        </w:rPr>
        <w:t>8</w:t>
      </w:r>
      <w:r w:rsidRPr="00104174">
        <w:rPr>
          <w:rFonts w:eastAsia="Times New Roman"/>
          <w:b/>
          <w:sz w:val="24"/>
          <w:szCs w:val="24"/>
          <w:lang w:eastAsia="en-IE"/>
        </w:rPr>
        <w:t xml:space="preserve"> - Query Profile Q</w:t>
      </w:r>
      <w:r w:rsidR="00445E90" w:rsidRPr="00104174">
        <w:rPr>
          <w:rFonts w:eastAsia="Times New Roman"/>
          <w:b/>
          <w:sz w:val="24"/>
          <w:szCs w:val="24"/>
          <w:lang w:eastAsia="en-IE"/>
        </w:rPr>
        <w:t>2</w:t>
      </w:r>
      <w:r w:rsidRPr="00104174">
        <w:rPr>
          <w:rFonts w:eastAsia="Times New Roman"/>
          <w:b/>
          <w:sz w:val="24"/>
          <w:szCs w:val="24"/>
          <w:lang w:eastAsia="en-IE"/>
        </w:rPr>
        <w:t xml:space="preserve"> 202</w:t>
      </w:r>
      <w:r w:rsidR="00E2087F" w:rsidRPr="00104174">
        <w:rPr>
          <w:rFonts w:eastAsia="Times New Roman"/>
          <w:b/>
          <w:sz w:val="24"/>
          <w:szCs w:val="24"/>
          <w:lang w:eastAsia="en-IE"/>
        </w:rPr>
        <w:t>4</w:t>
      </w:r>
    </w:p>
    <w:tbl>
      <w:tblPr>
        <w:tblStyle w:val="GridTable5Dark-Accent6"/>
        <w:tblW w:w="6799" w:type="dxa"/>
        <w:tblLook w:val="04A0" w:firstRow="1" w:lastRow="0" w:firstColumn="1" w:lastColumn="0" w:noHBand="0" w:noVBand="1"/>
      </w:tblPr>
      <w:tblGrid>
        <w:gridCol w:w="2569"/>
        <w:gridCol w:w="1618"/>
        <w:gridCol w:w="1478"/>
        <w:gridCol w:w="1134"/>
      </w:tblGrid>
      <w:tr w:rsidR="002E38D9" w:rsidRPr="00104174" w14:paraId="20FF6E48" w14:textId="329B42BC" w:rsidTr="00A3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hideMark/>
          </w:tcPr>
          <w:p w14:paraId="63989890" w14:textId="77777777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Query Category</w:t>
            </w:r>
          </w:p>
        </w:tc>
        <w:tc>
          <w:tcPr>
            <w:tcW w:w="1618" w:type="dxa"/>
            <w:hideMark/>
          </w:tcPr>
          <w:p w14:paraId="7021B150" w14:textId="77777777" w:rsidR="002E38D9" w:rsidRPr="00104174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478" w:type="dxa"/>
            <w:hideMark/>
          </w:tcPr>
          <w:p w14:paraId="579C4492" w14:textId="77777777" w:rsidR="002E38D9" w:rsidRPr="00104174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 of all Queries</w:t>
            </w:r>
          </w:p>
        </w:tc>
        <w:tc>
          <w:tcPr>
            <w:tcW w:w="1134" w:type="dxa"/>
          </w:tcPr>
          <w:p w14:paraId="095BF4AD" w14:textId="7EB3E7AF" w:rsidR="002E38D9" w:rsidRPr="00104174" w:rsidRDefault="00750CA4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Q</w:t>
            </w:r>
            <w:r w:rsidR="003830F7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A370D4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‘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9B4FB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 ‘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% 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Change</w:t>
            </w:r>
          </w:p>
        </w:tc>
      </w:tr>
      <w:tr w:rsidR="002E38D9" w:rsidRPr="00104174" w14:paraId="0613B785" w14:textId="27C6442D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2368073" w14:textId="77777777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</w:t>
            </w:r>
          </w:p>
        </w:tc>
        <w:tc>
          <w:tcPr>
            <w:tcW w:w="1618" w:type="dxa"/>
            <w:noWrap/>
            <w:hideMark/>
          </w:tcPr>
          <w:p w14:paraId="7FEA6968" w14:textId="7A5EDF17" w:rsidR="002E38D9" w:rsidRPr="00104174" w:rsidRDefault="003830F7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6,772</w:t>
            </w:r>
          </w:p>
        </w:tc>
        <w:tc>
          <w:tcPr>
            <w:tcW w:w="1478" w:type="dxa"/>
            <w:noWrap/>
            <w:hideMark/>
          </w:tcPr>
          <w:p w14:paraId="5EDAAC60" w14:textId="08B3C6FD" w:rsidR="002E38D9" w:rsidRPr="00104174" w:rsidRDefault="007F2623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44.9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7C323614" w14:textId="33585EB5" w:rsidR="002E38D9" w:rsidRPr="00104174" w:rsidRDefault="002233FD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-2.0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36124732" w14:textId="2D51A543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D741839" w14:textId="77777777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Housing</w:t>
            </w:r>
          </w:p>
        </w:tc>
        <w:tc>
          <w:tcPr>
            <w:tcW w:w="1618" w:type="dxa"/>
            <w:noWrap/>
            <w:hideMark/>
          </w:tcPr>
          <w:p w14:paraId="29D2114F" w14:textId="5BE8DD86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3830F7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539</w:t>
            </w:r>
          </w:p>
        </w:tc>
        <w:tc>
          <w:tcPr>
            <w:tcW w:w="1478" w:type="dxa"/>
            <w:noWrap/>
            <w:hideMark/>
          </w:tcPr>
          <w:p w14:paraId="7AEECBED" w14:textId="4CD80480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830F7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2B5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.2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03DC8E4" w14:textId="29E17819" w:rsidR="002E38D9" w:rsidRPr="00104174" w:rsidRDefault="002233FD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-1.9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426F0AB1" w14:textId="4D50AC9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6422BFE" w14:textId="77777777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Health</w:t>
            </w:r>
          </w:p>
        </w:tc>
        <w:tc>
          <w:tcPr>
            <w:tcW w:w="1618" w:type="dxa"/>
            <w:noWrap/>
            <w:hideMark/>
          </w:tcPr>
          <w:p w14:paraId="639E9F84" w14:textId="43AD091D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6,049</w:t>
            </w:r>
          </w:p>
        </w:tc>
        <w:tc>
          <w:tcPr>
            <w:tcW w:w="1478" w:type="dxa"/>
            <w:noWrap/>
            <w:hideMark/>
          </w:tcPr>
          <w:p w14:paraId="575A68B0" w14:textId="04873B41" w:rsidR="002E38D9" w:rsidRPr="00104174" w:rsidRDefault="002B5D5D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 w:rsidR="00B523D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AFA0DED" w14:textId="30B3BFBB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3830F7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3.2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5FCFF025" w14:textId="55F4F43E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8FA1193" w14:textId="3201C9A3" w:rsidR="002E38D9" w:rsidRPr="00104174" w:rsidRDefault="003830F7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</w:t>
            </w:r>
            <w:r w:rsidR="00E45EE6" w:rsidRPr="00104174">
              <w:rPr>
                <w:rStyle w:val="FootnoteReference"/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footnoteReference w:id="2"/>
            </w:r>
          </w:p>
        </w:tc>
        <w:tc>
          <w:tcPr>
            <w:tcW w:w="1618" w:type="dxa"/>
            <w:noWrap/>
            <w:hideMark/>
          </w:tcPr>
          <w:p w14:paraId="6C81161B" w14:textId="2C16F722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4,563</w:t>
            </w:r>
          </w:p>
        </w:tc>
        <w:tc>
          <w:tcPr>
            <w:tcW w:w="1478" w:type="dxa"/>
            <w:noWrap/>
            <w:hideMark/>
          </w:tcPr>
          <w:p w14:paraId="2F3A049E" w14:textId="5092EB43" w:rsidR="002E38D9" w:rsidRPr="00104174" w:rsidRDefault="002B5D5D" w:rsidP="003830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7.5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14AE2BD" w14:textId="43246F60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3830F7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705973E2" w14:textId="20E93BF0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73CB7F9" w14:textId="49EAFA10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Employment</w:t>
            </w:r>
          </w:p>
        </w:tc>
        <w:tc>
          <w:tcPr>
            <w:tcW w:w="1618" w:type="dxa"/>
            <w:noWrap/>
            <w:hideMark/>
          </w:tcPr>
          <w:p w14:paraId="7F6AA0F2" w14:textId="01360551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830F7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209</w:t>
            </w:r>
          </w:p>
        </w:tc>
        <w:tc>
          <w:tcPr>
            <w:tcW w:w="1478" w:type="dxa"/>
            <w:noWrap/>
            <w:hideMark/>
          </w:tcPr>
          <w:p w14:paraId="38AD6DC8" w14:textId="5043975B" w:rsidR="002E38D9" w:rsidRPr="00104174" w:rsidRDefault="002B5D5D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5.8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EAD2068" w14:textId="4EAF7D77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5.9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2DE037A4" w14:textId="42C114CA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2BFAA53" w14:textId="11B570A1" w:rsidR="002E38D9" w:rsidRPr="00104174" w:rsidRDefault="005C60D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Money and Tax</w:t>
            </w:r>
          </w:p>
        </w:tc>
        <w:tc>
          <w:tcPr>
            <w:tcW w:w="1618" w:type="dxa"/>
            <w:noWrap/>
            <w:hideMark/>
          </w:tcPr>
          <w:p w14:paraId="7DF60A7D" w14:textId="5C8F8871" w:rsidR="002E38D9" w:rsidRPr="00104174" w:rsidRDefault="005C60D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0,171</w:t>
            </w:r>
          </w:p>
        </w:tc>
        <w:tc>
          <w:tcPr>
            <w:tcW w:w="1478" w:type="dxa"/>
            <w:noWrap/>
            <w:hideMark/>
          </w:tcPr>
          <w:p w14:paraId="62FD6388" w14:textId="7E0C70EE" w:rsidR="002E38D9" w:rsidRPr="00104174" w:rsidRDefault="005C60D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</w:t>
            </w:r>
            <w:r w:rsidR="00C63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04476F84" w14:textId="139C2FC4" w:rsidR="002E38D9" w:rsidRPr="00104174" w:rsidRDefault="002233FD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-9.5</w:t>
            </w:r>
            <w:r w:rsidR="002E38D9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75313FB2" w14:textId="438DBE2B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DC36340" w14:textId="77777777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Moving Country</w:t>
            </w:r>
          </w:p>
        </w:tc>
        <w:tc>
          <w:tcPr>
            <w:tcW w:w="1618" w:type="dxa"/>
            <w:noWrap/>
            <w:hideMark/>
          </w:tcPr>
          <w:p w14:paraId="1BC34B78" w14:textId="2EE1CF43" w:rsidR="002E38D9" w:rsidRPr="00104174" w:rsidRDefault="005C60D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9,3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478" w:type="dxa"/>
            <w:noWrap/>
            <w:hideMark/>
          </w:tcPr>
          <w:p w14:paraId="2E32FD6E" w14:textId="2C5C35AC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 w:rsidR="005C60D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FC55FB3" w14:textId="4ABF7211" w:rsidR="002E38D9" w:rsidRPr="00104174" w:rsidRDefault="002233FD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+0.3</w:t>
            </w:r>
            <w:r w:rsidR="00946F6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4206DB24" w14:textId="41F514F8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D658E97" w14:textId="730DD3D8" w:rsidR="002E38D9" w:rsidRPr="00104174" w:rsidRDefault="005C60D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Travel and Recreation</w:t>
            </w:r>
          </w:p>
        </w:tc>
        <w:tc>
          <w:tcPr>
            <w:tcW w:w="1618" w:type="dxa"/>
            <w:noWrap/>
            <w:hideMark/>
          </w:tcPr>
          <w:p w14:paraId="3C1C2BAB" w14:textId="22187BA9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165</w:t>
            </w:r>
          </w:p>
        </w:tc>
        <w:tc>
          <w:tcPr>
            <w:tcW w:w="1478" w:type="dxa"/>
            <w:noWrap/>
            <w:hideMark/>
          </w:tcPr>
          <w:p w14:paraId="1FC41FDB" w14:textId="6B3C37BD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C63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723237BF" w14:textId="0FB62E46" w:rsidR="002E38D9" w:rsidRPr="00104174" w:rsidRDefault="000F23F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-2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.7</w:t>
            </w:r>
            <w:r w:rsidR="00946F6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3A2FC437" w14:textId="0B91896F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1C11D1F7" w14:textId="046559F0" w:rsidR="002E38D9" w:rsidRPr="00104174" w:rsidRDefault="005C60D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Justice</w:t>
            </w:r>
          </w:p>
        </w:tc>
        <w:tc>
          <w:tcPr>
            <w:tcW w:w="1618" w:type="dxa"/>
            <w:noWrap/>
            <w:hideMark/>
          </w:tcPr>
          <w:p w14:paraId="72B0BB0E" w14:textId="3BE27FB8" w:rsidR="002E38D9" w:rsidRPr="00104174" w:rsidRDefault="005C60D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718</w:t>
            </w:r>
          </w:p>
        </w:tc>
        <w:tc>
          <w:tcPr>
            <w:tcW w:w="1478" w:type="dxa"/>
            <w:noWrap/>
            <w:hideMark/>
          </w:tcPr>
          <w:p w14:paraId="01050F7C" w14:textId="490E622D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C63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6952224A" w14:textId="24AA6049" w:rsidR="002E38D9" w:rsidRPr="00104174" w:rsidRDefault="002233FD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-2.6</w:t>
            </w:r>
            <w:r w:rsidR="00946F6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0276312D" w14:textId="0EFA6F37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587465A" w14:textId="48B86C72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Birth, Family and Relationships</w:t>
            </w:r>
          </w:p>
        </w:tc>
        <w:tc>
          <w:tcPr>
            <w:tcW w:w="1618" w:type="dxa"/>
            <w:noWrap/>
            <w:hideMark/>
          </w:tcPr>
          <w:p w14:paraId="41A2BDDE" w14:textId="1519133B" w:rsidR="002E38D9" w:rsidRPr="00104174" w:rsidRDefault="005C60D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060</w:t>
            </w:r>
          </w:p>
        </w:tc>
        <w:tc>
          <w:tcPr>
            <w:tcW w:w="1478" w:type="dxa"/>
            <w:noWrap/>
            <w:hideMark/>
          </w:tcPr>
          <w:p w14:paraId="1B5AB8F4" w14:textId="72085FC3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C63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8894DE6" w14:textId="1EF2CB87" w:rsidR="002E38D9" w:rsidRPr="00104174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  <w:r w:rsidR="000F23F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.6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54CFD833" w14:textId="067E3DE2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B49383C" w14:textId="5AA6F060" w:rsidR="002E38D9" w:rsidRPr="00104174" w:rsidRDefault="000F23F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Education and Training</w:t>
            </w:r>
          </w:p>
        </w:tc>
        <w:tc>
          <w:tcPr>
            <w:tcW w:w="1618" w:type="dxa"/>
            <w:noWrap/>
            <w:hideMark/>
          </w:tcPr>
          <w:p w14:paraId="12FF01B6" w14:textId="1AA6B351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581</w:t>
            </w:r>
          </w:p>
        </w:tc>
        <w:tc>
          <w:tcPr>
            <w:tcW w:w="1478" w:type="dxa"/>
            <w:noWrap/>
            <w:hideMark/>
          </w:tcPr>
          <w:p w14:paraId="5BF15828" w14:textId="734FDDB9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6C0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418CBF6" w14:textId="17231B88" w:rsidR="002E38D9" w:rsidRPr="00104174" w:rsidRDefault="002233FD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+9</w:t>
            </w:r>
            <w:r w:rsidR="000F23F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.6</w:t>
            </w:r>
            <w:r w:rsidR="00946F6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11356738" w14:textId="3655736F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4A600A2" w14:textId="3CAEA1F8" w:rsidR="002E38D9" w:rsidRPr="00104174" w:rsidRDefault="000F23F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Consumer Affairs</w:t>
            </w:r>
          </w:p>
        </w:tc>
        <w:tc>
          <w:tcPr>
            <w:tcW w:w="1618" w:type="dxa"/>
            <w:noWrap/>
            <w:hideMark/>
          </w:tcPr>
          <w:p w14:paraId="2F73141B" w14:textId="77BDE9BA" w:rsidR="002E38D9" w:rsidRPr="00104174" w:rsidRDefault="000F23F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629</w:t>
            </w:r>
          </w:p>
        </w:tc>
        <w:tc>
          <w:tcPr>
            <w:tcW w:w="1478" w:type="dxa"/>
            <w:noWrap/>
            <w:hideMark/>
          </w:tcPr>
          <w:p w14:paraId="6CD70DB2" w14:textId="676F0590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6C0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073A45B7" w14:textId="015B1768" w:rsidR="002E38D9" w:rsidRPr="00104174" w:rsidRDefault="000F23F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="00946F6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C00F6" w:rsidRPr="00104174" w14:paraId="67C03D43" w14:textId="7777777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73A119ED" w14:textId="5214EA7B" w:rsidR="006C00F6" w:rsidRPr="00104174" w:rsidRDefault="006C00F6" w:rsidP="006C00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Government in Ireland</w:t>
            </w:r>
          </w:p>
        </w:tc>
        <w:tc>
          <w:tcPr>
            <w:tcW w:w="1618" w:type="dxa"/>
            <w:noWrap/>
          </w:tcPr>
          <w:p w14:paraId="066C8F13" w14:textId="07746307" w:rsidR="006C00F6" w:rsidRPr="00104174" w:rsidRDefault="006C00F6" w:rsidP="006C00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1,620</w:t>
            </w:r>
          </w:p>
        </w:tc>
        <w:tc>
          <w:tcPr>
            <w:tcW w:w="1478" w:type="dxa"/>
            <w:noWrap/>
          </w:tcPr>
          <w:p w14:paraId="0DB9926A" w14:textId="7FD6975B" w:rsidR="006C00F6" w:rsidRPr="00104174" w:rsidRDefault="006C00F6" w:rsidP="006C00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3329D10" w14:textId="1F134055" w:rsidR="006C00F6" w:rsidRPr="00104174" w:rsidRDefault="006C00F6" w:rsidP="006C00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+35.1%</w:t>
            </w:r>
          </w:p>
        </w:tc>
      </w:tr>
      <w:tr w:rsidR="002E38D9" w:rsidRPr="00104174" w14:paraId="1E443FC9" w14:textId="61912F88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8C58511" w14:textId="29F696E3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Death and Bereavement</w:t>
            </w:r>
          </w:p>
        </w:tc>
        <w:tc>
          <w:tcPr>
            <w:tcW w:w="1618" w:type="dxa"/>
            <w:noWrap/>
            <w:hideMark/>
          </w:tcPr>
          <w:p w14:paraId="5C8EC014" w14:textId="76C078B6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0F23F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478" w:type="dxa"/>
            <w:noWrap/>
            <w:hideMark/>
          </w:tcPr>
          <w:p w14:paraId="6B6BB679" w14:textId="4E4E5563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0.7%</w:t>
            </w:r>
          </w:p>
        </w:tc>
        <w:tc>
          <w:tcPr>
            <w:tcW w:w="1134" w:type="dxa"/>
          </w:tcPr>
          <w:p w14:paraId="19D95B23" w14:textId="5A3D0271" w:rsidR="002E38D9" w:rsidRPr="00104174" w:rsidRDefault="002233FD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+5.6</w:t>
            </w:r>
            <w:r w:rsidR="00946F6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67458216" w14:textId="45BFDDB5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29C9E2A2" w14:textId="0ABC5320" w:rsidR="002E38D9" w:rsidRPr="00104174" w:rsidRDefault="002E38D9" w:rsidP="009F63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Environment</w:t>
            </w:r>
          </w:p>
        </w:tc>
        <w:tc>
          <w:tcPr>
            <w:tcW w:w="1618" w:type="dxa"/>
            <w:noWrap/>
            <w:hideMark/>
          </w:tcPr>
          <w:p w14:paraId="41082D81" w14:textId="4E7AC55B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E2087F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1478" w:type="dxa"/>
            <w:noWrap/>
            <w:hideMark/>
          </w:tcPr>
          <w:p w14:paraId="71C680BB" w14:textId="4A755A6C" w:rsidR="002E38D9" w:rsidRPr="00104174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  <w:tc>
          <w:tcPr>
            <w:tcW w:w="1134" w:type="dxa"/>
          </w:tcPr>
          <w:p w14:paraId="6CA93C99" w14:textId="4BD0D4C9" w:rsidR="002E38D9" w:rsidRPr="00104174" w:rsidRDefault="000F23F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2233FD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6.9</w:t>
            </w:r>
            <w:r w:rsidR="00946F6A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104174" w14:paraId="1093DC48" w14:textId="2CF6F817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71391D4" w14:textId="77777777" w:rsidR="002E38D9" w:rsidRPr="00104174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24CE4C3B" w14:textId="0BD57BA4" w:rsidR="002E38D9" w:rsidRPr="00104174" w:rsidRDefault="00BE00BC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193,1</w:t>
            </w:r>
            <w:r w:rsidR="00E2087F"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55</w:t>
            </w:r>
          </w:p>
        </w:tc>
        <w:tc>
          <w:tcPr>
            <w:tcW w:w="1478" w:type="dxa"/>
            <w:noWrap/>
            <w:hideMark/>
          </w:tcPr>
          <w:p w14:paraId="194F4196" w14:textId="77777777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  <w:tc>
          <w:tcPr>
            <w:tcW w:w="1134" w:type="dxa"/>
          </w:tcPr>
          <w:p w14:paraId="19985B0E" w14:textId="77777777" w:rsidR="002E38D9" w:rsidRPr="00104174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64675BD9" w14:textId="63CA8C75" w:rsidR="000A6757" w:rsidRPr="00104174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104174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911C10">
        <w:rPr>
          <w:rFonts w:eastAsia="Times New Roman"/>
          <w:b/>
          <w:sz w:val="24"/>
          <w:szCs w:val="24"/>
          <w:lang w:eastAsia="en-IE"/>
        </w:rPr>
        <w:t>9</w:t>
      </w:r>
      <w:r w:rsidRPr="00104174">
        <w:rPr>
          <w:rFonts w:eastAsia="Times New Roman"/>
          <w:b/>
          <w:sz w:val="24"/>
          <w:szCs w:val="24"/>
          <w:lang w:eastAsia="en-IE"/>
        </w:rPr>
        <w:t xml:space="preserve"> - Top-Ten Single Payments or Schemes, Q</w:t>
      </w:r>
      <w:r w:rsidR="00445E90" w:rsidRPr="00104174">
        <w:rPr>
          <w:rFonts w:eastAsia="Times New Roman"/>
          <w:b/>
          <w:sz w:val="24"/>
          <w:szCs w:val="24"/>
          <w:lang w:eastAsia="en-IE"/>
        </w:rPr>
        <w:t>2</w:t>
      </w:r>
      <w:r w:rsidRPr="00104174">
        <w:rPr>
          <w:rFonts w:eastAsia="Times New Roman"/>
          <w:b/>
          <w:sz w:val="24"/>
          <w:szCs w:val="24"/>
          <w:lang w:eastAsia="en-IE"/>
        </w:rPr>
        <w:t xml:space="preserve"> 202</w:t>
      </w:r>
      <w:r w:rsidR="00EB4818" w:rsidRPr="00104174">
        <w:rPr>
          <w:rFonts w:eastAsia="Times New Roman"/>
          <w:b/>
          <w:sz w:val="24"/>
          <w:szCs w:val="24"/>
          <w:lang w:eastAsia="en-IE"/>
        </w:rPr>
        <w:t>4</w:t>
      </w:r>
    </w:p>
    <w:tbl>
      <w:tblPr>
        <w:tblStyle w:val="GridTable5Dark-Accent6"/>
        <w:tblW w:w="6091" w:type="dxa"/>
        <w:tblLook w:val="04A0" w:firstRow="1" w:lastRow="0" w:firstColumn="1" w:lastColumn="0" w:noHBand="0" w:noVBand="1"/>
      </w:tblPr>
      <w:tblGrid>
        <w:gridCol w:w="442"/>
        <w:gridCol w:w="1821"/>
        <w:gridCol w:w="1662"/>
        <w:gridCol w:w="923"/>
        <w:gridCol w:w="19"/>
        <w:gridCol w:w="1224"/>
      </w:tblGrid>
      <w:tr w:rsidR="000A6757" w:rsidRPr="00104174" w14:paraId="377DEDCF" w14:textId="77777777" w:rsidTr="00EB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0A672490" w14:textId="0596CCB5" w:rsidR="000A6757" w:rsidRPr="00104174" w:rsidRDefault="000A6757" w:rsidP="008839F4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821" w:type="dxa"/>
            <w:hideMark/>
          </w:tcPr>
          <w:p w14:paraId="31F25319" w14:textId="77777777" w:rsidR="000A6757" w:rsidRPr="00104174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1662" w:type="dxa"/>
            <w:hideMark/>
          </w:tcPr>
          <w:p w14:paraId="386AB50F" w14:textId="77777777" w:rsidR="000A6757" w:rsidRPr="00104174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923" w:type="dxa"/>
            <w:hideMark/>
          </w:tcPr>
          <w:p w14:paraId="70B0C528" w14:textId="77777777" w:rsidR="000A6757" w:rsidRPr="00104174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243" w:type="dxa"/>
            <w:gridSpan w:val="2"/>
            <w:hideMark/>
          </w:tcPr>
          <w:p w14:paraId="48887F06" w14:textId="32FC855F" w:rsidR="000A6757" w:rsidRPr="00104174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  <w:r w:rsidR="00A35B8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Change Q</w:t>
            </w:r>
            <w:r w:rsidR="00445E9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A35B8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A370D4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‘</w:t>
            </w:r>
            <w:r w:rsidR="00A35B8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EB4818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9B4FB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 ‘</w:t>
            </w:r>
            <w:r w:rsidR="00A35B8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EB4818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A35B80"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0A6757" w:rsidRPr="00104174" w14:paraId="0C23AA2F" w14:textId="77777777" w:rsidTr="00EB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7518F5DD" w14:textId="77777777" w:rsidR="000A6757" w:rsidRPr="00104174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1821" w:type="dxa"/>
            <w:hideMark/>
          </w:tcPr>
          <w:p w14:paraId="599D0D0E" w14:textId="77777777" w:rsidR="000A6757" w:rsidRPr="00104174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Health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Medical Card</w:t>
            </w:r>
          </w:p>
        </w:tc>
        <w:tc>
          <w:tcPr>
            <w:tcW w:w="1662" w:type="dxa"/>
            <w:hideMark/>
          </w:tcPr>
          <w:p w14:paraId="790AAFF8" w14:textId="77777777" w:rsidR="000A6757" w:rsidRPr="00104174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Medical Card</w:t>
            </w:r>
          </w:p>
        </w:tc>
        <w:tc>
          <w:tcPr>
            <w:tcW w:w="923" w:type="dxa"/>
            <w:noWrap/>
            <w:hideMark/>
          </w:tcPr>
          <w:p w14:paraId="2A0DADCA" w14:textId="35AC1F1C" w:rsidR="000A6757" w:rsidRPr="00104174" w:rsidRDefault="001A2AAF" w:rsidP="001A2AA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9,892</w:t>
            </w:r>
          </w:p>
        </w:tc>
        <w:tc>
          <w:tcPr>
            <w:tcW w:w="1243" w:type="dxa"/>
            <w:gridSpan w:val="2"/>
            <w:noWrap/>
            <w:hideMark/>
          </w:tcPr>
          <w:p w14:paraId="69D0D90D" w14:textId="439E17C0" w:rsidR="000A6757" w:rsidRPr="00104174" w:rsidRDefault="009663CC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+1</w:t>
            </w:r>
            <w:r w:rsidR="0037377C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  <w:r w:rsidR="000A6757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C12BC7" w:rsidRPr="00104174" w14:paraId="7F6146BC" w14:textId="77777777" w:rsidTr="00EB4818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</w:tcPr>
          <w:p w14:paraId="70C3E6E4" w14:textId="5229FE94" w:rsidR="00BE31AC" w:rsidRPr="00104174" w:rsidRDefault="00BE31AC" w:rsidP="00BE31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1821" w:type="dxa"/>
          </w:tcPr>
          <w:p w14:paraId="267DA04E" w14:textId="1F9CA243" w:rsidR="00BE31AC" w:rsidRPr="00104174" w:rsidRDefault="00BE31AC" w:rsidP="00BE31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Older People</w:t>
            </w:r>
          </w:p>
        </w:tc>
        <w:tc>
          <w:tcPr>
            <w:tcW w:w="1662" w:type="dxa"/>
          </w:tcPr>
          <w:p w14:paraId="3C7BA455" w14:textId="5709A441" w:rsidR="00BE31AC" w:rsidRPr="00104174" w:rsidRDefault="00BE31AC" w:rsidP="00BE31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State Pension (cont.)</w:t>
            </w:r>
          </w:p>
        </w:tc>
        <w:tc>
          <w:tcPr>
            <w:tcW w:w="923" w:type="dxa"/>
            <w:noWrap/>
          </w:tcPr>
          <w:p w14:paraId="6E5C1C1B" w14:textId="7FA6E93A" w:rsidR="00BE31AC" w:rsidRPr="00104174" w:rsidRDefault="00BE31AC" w:rsidP="00BE31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</w:t>
            </w:r>
            <w:r w:rsidR="001A2AAF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960</w:t>
            </w:r>
          </w:p>
        </w:tc>
        <w:tc>
          <w:tcPr>
            <w:tcW w:w="1243" w:type="dxa"/>
            <w:gridSpan w:val="2"/>
            <w:noWrap/>
          </w:tcPr>
          <w:p w14:paraId="5EAF1FBC" w14:textId="6E32858D" w:rsidR="00BE31AC" w:rsidRPr="00104174" w:rsidRDefault="00BE31AC" w:rsidP="00BE31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+1</w:t>
            </w:r>
            <w:r w:rsidR="0023523A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.5</w:t>
            </w:r>
            <w:r w:rsidRPr="00104174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%</w:t>
            </w:r>
          </w:p>
        </w:tc>
      </w:tr>
      <w:tr w:rsidR="008A55C9" w:rsidRPr="00104174" w14:paraId="48B52112" w14:textId="77777777" w:rsidTr="00EB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F44741C" w14:textId="3226454C" w:rsidR="008A55C9" w:rsidRPr="00104174" w:rsidRDefault="00BE31AC" w:rsidP="008A55C9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1821" w:type="dxa"/>
            <w:hideMark/>
          </w:tcPr>
          <w:p w14:paraId="1027485E" w14:textId="641756C3" w:rsidR="008A55C9" w:rsidRPr="00104174" w:rsidRDefault="008A55C9" w:rsidP="008A55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0F23F0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–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0F23F0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Disability &amp; Illness</w:t>
            </w:r>
          </w:p>
        </w:tc>
        <w:tc>
          <w:tcPr>
            <w:tcW w:w="1662" w:type="dxa"/>
            <w:hideMark/>
          </w:tcPr>
          <w:p w14:paraId="4E0FEABB" w14:textId="36055131" w:rsidR="008A55C9" w:rsidRPr="00104174" w:rsidRDefault="000F23F0" w:rsidP="008A55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923" w:type="dxa"/>
            <w:noWrap/>
            <w:hideMark/>
          </w:tcPr>
          <w:p w14:paraId="53ACE4B2" w14:textId="0E029032" w:rsidR="008A55C9" w:rsidRPr="00104174" w:rsidRDefault="00BE31AC" w:rsidP="004628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</w:t>
            </w:r>
            <w:r w:rsidR="001A2AAF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825</w:t>
            </w:r>
          </w:p>
        </w:tc>
        <w:tc>
          <w:tcPr>
            <w:tcW w:w="1243" w:type="dxa"/>
            <w:gridSpan w:val="2"/>
            <w:noWrap/>
          </w:tcPr>
          <w:p w14:paraId="2ACE558F" w14:textId="190C09E4" w:rsidR="008A55C9" w:rsidRPr="00104174" w:rsidRDefault="006659D6" w:rsidP="008A55C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+1.0</w:t>
            </w:r>
            <w:r w:rsidR="008A55C9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A6757" w:rsidRPr="00104174" w14:paraId="74458622" w14:textId="77777777" w:rsidTr="00EB4818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41448E6" w14:textId="77777777" w:rsidR="000A6757" w:rsidRPr="00104174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1821" w:type="dxa"/>
            <w:hideMark/>
          </w:tcPr>
          <w:p w14:paraId="593D6649" w14:textId="1878207E" w:rsidR="000A6757" w:rsidRPr="00104174" w:rsidRDefault="000F23F0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Carers</w:t>
            </w:r>
          </w:p>
        </w:tc>
        <w:tc>
          <w:tcPr>
            <w:tcW w:w="1662" w:type="dxa"/>
            <w:hideMark/>
          </w:tcPr>
          <w:p w14:paraId="2389EA58" w14:textId="523036EB" w:rsidR="000A6757" w:rsidRPr="00104174" w:rsidRDefault="000F23F0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Carer’s Allowance</w:t>
            </w:r>
          </w:p>
        </w:tc>
        <w:tc>
          <w:tcPr>
            <w:tcW w:w="923" w:type="dxa"/>
            <w:noWrap/>
            <w:hideMark/>
          </w:tcPr>
          <w:p w14:paraId="7CEFF40D" w14:textId="1AD08D50" w:rsidR="000A6757" w:rsidRPr="00104174" w:rsidRDefault="001A2AAF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5,926</w:t>
            </w:r>
          </w:p>
        </w:tc>
        <w:tc>
          <w:tcPr>
            <w:tcW w:w="1243" w:type="dxa"/>
            <w:gridSpan w:val="2"/>
            <w:noWrap/>
            <w:hideMark/>
          </w:tcPr>
          <w:p w14:paraId="1C729EDF" w14:textId="7B6AA727" w:rsidR="000A6757" w:rsidRPr="00104174" w:rsidRDefault="0037377C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</w:t>
            </w:r>
            <w:r w:rsidR="002352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2.5</w:t>
            </w:r>
            <w:r w:rsidR="000A6757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F23F0" w:rsidRPr="00104174" w14:paraId="77C3E8A6" w14:textId="77777777" w:rsidTr="00EB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E8D91B9" w14:textId="77777777" w:rsidR="000F23F0" w:rsidRPr="00104174" w:rsidRDefault="000F23F0" w:rsidP="000F23F0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1821" w:type="dxa"/>
          </w:tcPr>
          <w:p w14:paraId="381C1D5B" w14:textId="11FB7696" w:rsidR="000F23F0" w:rsidRPr="00104174" w:rsidRDefault="000F23F0" w:rsidP="000F23F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Housing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Local Authority and Social Housing</w:t>
            </w:r>
          </w:p>
        </w:tc>
        <w:tc>
          <w:tcPr>
            <w:tcW w:w="1662" w:type="dxa"/>
          </w:tcPr>
          <w:p w14:paraId="299EF9E9" w14:textId="77010CCA" w:rsidR="000F23F0" w:rsidRPr="00104174" w:rsidRDefault="000F23F0" w:rsidP="000F23F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942" w:type="dxa"/>
            <w:gridSpan w:val="2"/>
            <w:noWrap/>
            <w:hideMark/>
          </w:tcPr>
          <w:p w14:paraId="52E62EEB" w14:textId="5AC9780D" w:rsidR="000F23F0" w:rsidRPr="00104174" w:rsidRDefault="000F23F0" w:rsidP="000F23F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5,</w:t>
            </w:r>
            <w:r w:rsidR="001A2AAF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262</w:t>
            </w:r>
          </w:p>
        </w:tc>
        <w:tc>
          <w:tcPr>
            <w:tcW w:w="1224" w:type="dxa"/>
            <w:noWrap/>
            <w:hideMark/>
          </w:tcPr>
          <w:p w14:paraId="63A2CDF4" w14:textId="737E0B85" w:rsidR="000F23F0" w:rsidRPr="00104174" w:rsidRDefault="0023523A" w:rsidP="000F23F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-1.5</w:t>
            </w:r>
            <w:r w:rsidR="000F23F0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1A2AAF" w:rsidRPr="00104174" w14:paraId="234C1D04" w14:textId="77777777" w:rsidTr="00EB4818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454AA2D" w14:textId="03A301E6" w:rsidR="001A2AAF" w:rsidRPr="00104174" w:rsidRDefault="001A2AAF" w:rsidP="001A2AAF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1821" w:type="dxa"/>
            <w:hideMark/>
          </w:tcPr>
          <w:p w14:paraId="0F112CEF" w14:textId="7AB2C000" w:rsidR="001A2AAF" w:rsidRPr="00104174" w:rsidRDefault="001A2AAF" w:rsidP="001A2A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Unemployed People</w:t>
            </w:r>
          </w:p>
        </w:tc>
        <w:tc>
          <w:tcPr>
            <w:tcW w:w="1662" w:type="dxa"/>
            <w:hideMark/>
          </w:tcPr>
          <w:p w14:paraId="20F58339" w14:textId="6865707A" w:rsidR="001A2AAF" w:rsidRPr="00104174" w:rsidRDefault="001A2AAF" w:rsidP="001A2A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Jobseeker's Allowance</w:t>
            </w:r>
          </w:p>
        </w:tc>
        <w:tc>
          <w:tcPr>
            <w:tcW w:w="942" w:type="dxa"/>
            <w:gridSpan w:val="2"/>
            <w:noWrap/>
            <w:hideMark/>
          </w:tcPr>
          <w:p w14:paraId="05B7F69B" w14:textId="71CE6B43" w:rsidR="001A2AAF" w:rsidRPr="00104174" w:rsidRDefault="001A2AAF" w:rsidP="001A2AA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3,984</w:t>
            </w:r>
          </w:p>
        </w:tc>
        <w:tc>
          <w:tcPr>
            <w:tcW w:w="1224" w:type="dxa"/>
            <w:noWrap/>
            <w:hideMark/>
          </w:tcPr>
          <w:p w14:paraId="7D7C4410" w14:textId="3A0787DF" w:rsidR="001A2AAF" w:rsidRPr="00104174" w:rsidRDefault="0023523A" w:rsidP="001A2AA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+3.6</w:t>
            </w:r>
            <w:r w:rsidR="001A2AAF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415421" w:rsidRPr="00104174" w14:paraId="1963859D" w14:textId="77777777" w:rsidTr="00EB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3A01D807" w14:textId="6B238568" w:rsidR="00415421" w:rsidRPr="00104174" w:rsidRDefault="0021266C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1821" w:type="dxa"/>
          </w:tcPr>
          <w:p w14:paraId="73C95982" w14:textId="49464477" w:rsidR="00415421" w:rsidRPr="00104174" w:rsidRDefault="000F23F0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Extra Social Welfare Benefits</w:t>
            </w:r>
          </w:p>
        </w:tc>
        <w:tc>
          <w:tcPr>
            <w:tcW w:w="1662" w:type="dxa"/>
          </w:tcPr>
          <w:p w14:paraId="0E7BCFAF" w14:textId="54F3E37A" w:rsidR="00415421" w:rsidRPr="00104174" w:rsidRDefault="001A2AAF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Household Benefits Package</w:t>
            </w:r>
          </w:p>
        </w:tc>
        <w:tc>
          <w:tcPr>
            <w:tcW w:w="942" w:type="dxa"/>
            <w:gridSpan w:val="2"/>
            <w:noWrap/>
            <w:hideMark/>
          </w:tcPr>
          <w:p w14:paraId="3EDB1F00" w14:textId="1785BFDB" w:rsidR="00415421" w:rsidRPr="00104174" w:rsidRDefault="000F23F0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3,8</w:t>
            </w:r>
            <w:r w:rsidR="001A2AAF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60</w:t>
            </w:r>
          </w:p>
        </w:tc>
        <w:tc>
          <w:tcPr>
            <w:tcW w:w="1224" w:type="dxa"/>
            <w:noWrap/>
            <w:hideMark/>
          </w:tcPr>
          <w:p w14:paraId="77412634" w14:textId="24FA2F41" w:rsidR="00415421" w:rsidRPr="00104174" w:rsidRDefault="0023523A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+0.1</w:t>
            </w:r>
            <w:r w:rsidR="00415421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EB4818" w:rsidRPr="00104174" w14:paraId="4C868774" w14:textId="77777777" w:rsidTr="00EB4818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</w:tcPr>
          <w:p w14:paraId="6B8AE290" w14:textId="438DFCE6" w:rsidR="00EB4818" w:rsidRPr="00104174" w:rsidRDefault="00EB4818" w:rsidP="00EB48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1821" w:type="dxa"/>
          </w:tcPr>
          <w:p w14:paraId="4A2290C5" w14:textId="1BB39E96" w:rsidR="00EB4818" w:rsidRPr="00104174" w:rsidRDefault="00EB4818" w:rsidP="00EB48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Supplementary </w:t>
            </w:r>
            <w:r w:rsidR="006659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elfare </w:t>
            </w:r>
            <w:r w:rsidR="006659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Schemes</w:t>
            </w:r>
          </w:p>
        </w:tc>
        <w:tc>
          <w:tcPr>
            <w:tcW w:w="1662" w:type="dxa"/>
          </w:tcPr>
          <w:p w14:paraId="2B18A31E" w14:textId="5B322205" w:rsidR="00EB4818" w:rsidRPr="00104174" w:rsidRDefault="00EB4818" w:rsidP="00EB48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 xml:space="preserve">Basic Supplementary Welfare Allowance </w:t>
            </w:r>
          </w:p>
        </w:tc>
        <w:tc>
          <w:tcPr>
            <w:tcW w:w="942" w:type="dxa"/>
            <w:gridSpan w:val="2"/>
            <w:noWrap/>
          </w:tcPr>
          <w:p w14:paraId="6B368FA9" w14:textId="71400ECF" w:rsidR="00EB4818" w:rsidRPr="00104174" w:rsidRDefault="00EB4818" w:rsidP="00EB48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3,764</w:t>
            </w:r>
          </w:p>
        </w:tc>
        <w:tc>
          <w:tcPr>
            <w:tcW w:w="1224" w:type="dxa"/>
            <w:noWrap/>
          </w:tcPr>
          <w:p w14:paraId="27323777" w14:textId="430E30F7" w:rsidR="00EB4818" w:rsidRPr="00104174" w:rsidRDefault="00F54F7F" w:rsidP="00EB48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+6.6</w:t>
            </w:r>
            <w:r w:rsidR="00EB4818"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EB4818" w:rsidRPr="00104174" w14:paraId="7202003A" w14:textId="77777777" w:rsidTr="00EB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A09A118" w14:textId="77777777" w:rsidR="00EB4818" w:rsidRPr="00104174" w:rsidRDefault="00EB4818" w:rsidP="00EB4818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1821" w:type="dxa"/>
          </w:tcPr>
          <w:p w14:paraId="7E75CD03" w14:textId="5CD079FF" w:rsidR="00EB4818" w:rsidRPr="00104174" w:rsidRDefault="00EB4818" w:rsidP="00EB48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Housing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Housing Grants and Schemes</w:t>
            </w:r>
          </w:p>
        </w:tc>
        <w:tc>
          <w:tcPr>
            <w:tcW w:w="1662" w:type="dxa"/>
          </w:tcPr>
          <w:p w14:paraId="0846EE3E" w14:textId="44E5021B" w:rsidR="00EB4818" w:rsidRPr="00104174" w:rsidRDefault="00EB4818" w:rsidP="00EB48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Housing Grants and Schemes</w:t>
            </w:r>
          </w:p>
        </w:tc>
        <w:tc>
          <w:tcPr>
            <w:tcW w:w="942" w:type="dxa"/>
            <w:gridSpan w:val="2"/>
            <w:noWrap/>
          </w:tcPr>
          <w:p w14:paraId="242E87A2" w14:textId="208E90D0" w:rsidR="00EB4818" w:rsidRPr="00104174" w:rsidRDefault="00EB4818" w:rsidP="00EB48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3,647</w:t>
            </w:r>
          </w:p>
        </w:tc>
        <w:tc>
          <w:tcPr>
            <w:tcW w:w="1224" w:type="dxa"/>
            <w:noWrap/>
          </w:tcPr>
          <w:p w14:paraId="281613CA" w14:textId="03217D86" w:rsidR="00EB4818" w:rsidRPr="00104174" w:rsidRDefault="00EB4818" w:rsidP="00EB48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</w:t>
            </w:r>
            <w:r w:rsidR="00F54F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4.7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EB4818" w:rsidRPr="00104174" w14:paraId="31769632" w14:textId="77777777" w:rsidTr="00EB4818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51CF94B9" w14:textId="77777777" w:rsidR="00EB4818" w:rsidRPr="00104174" w:rsidRDefault="00EB4818" w:rsidP="00EB4818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1821" w:type="dxa"/>
          </w:tcPr>
          <w:p w14:paraId="23896D87" w14:textId="5474CA5B" w:rsidR="00EB4818" w:rsidRPr="00104174" w:rsidRDefault="00EB4818" w:rsidP="00EB48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Extra Social Welfare Benefits</w:t>
            </w:r>
          </w:p>
        </w:tc>
        <w:tc>
          <w:tcPr>
            <w:tcW w:w="1662" w:type="dxa"/>
          </w:tcPr>
          <w:p w14:paraId="6A3B923B" w14:textId="055C93C8" w:rsidR="00EB4818" w:rsidRPr="00104174" w:rsidRDefault="00EB4818" w:rsidP="00EB48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Fuel Allowance</w:t>
            </w:r>
          </w:p>
        </w:tc>
        <w:tc>
          <w:tcPr>
            <w:tcW w:w="942" w:type="dxa"/>
            <w:gridSpan w:val="2"/>
            <w:noWrap/>
          </w:tcPr>
          <w:p w14:paraId="0A65D880" w14:textId="1BE68C08" w:rsidR="00EB4818" w:rsidRPr="00104174" w:rsidRDefault="00EB4818" w:rsidP="00EB48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3,368</w:t>
            </w:r>
          </w:p>
        </w:tc>
        <w:tc>
          <w:tcPr>
            <w:tcW w:w="1224" w:type="dxa"/>
            <w:noWrap/>
          </w:tcPr>
          <w:p w14:paraId="002F4BAB" w14:textId="5D0D70A0" w:rsidR="00EB4818" w:rsidRPr="00104174" w:rsidRDefault="00EB4818" w:rsidP="00EB48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</w:t>
            </w:r>
            <w:r w:rsidR="00F54F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12.6</w:t>
            </w:r>
            <w:r w:rsidRPr="001041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</w:tbl>
    <w:p w14:paraId="2F66D8B9" w14:textId="77777777" w:rsidR="000A6757" w:rsidRPr="00104174" w:rsidRDefault="000A6757" w:rsidP="00B60276">
      <w:pPr>
        <w:rPr>
          <w:rFonts w:ascii="Calibri" w:hAnsi="Calibri" w:cs="Calibri"/>
        </w:rPr>
        <w:sectPr w:rsidR="000A6757" w:rsidRPr="00104174" w:rsidSect="000A6757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7F8306" w14:textId="5C549CD5" w:rsidR="005A640A" w:rsidRPr="00104174" w:rsidRDefault="005A640A" w:rsidP="00B60276">
      <w:pPr>
        <w:rPr>
          <w:rFonts w:ascii="Calibri" w:hAnsi="Calibri" w:cs="Calibri"/>
        </w:rPr>
        <w:sectPr w:rsidR="005A640A" w:rsidRPr="00104174" w:rsidSect="00004B7C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11B73B" w14:textId="65BB5BF2" w:rsidR="00004B7C" w:rsidRPr="00104174" w:rsidRDefault="00004B7C" w:rsidP="000A6757">
      <w:pPr>
        <w:pStyle w:val="Heading1"/>
        <w:rPr>
          <w:rFonts w:eastAsia="Times New Roman"/>
          <w:b/>
          <w:sz w:val="24"/>
          <w:szCs w:val="24"/>
          <w:highlight w:val="green"/>
          <w:lang w:eastAsia="en-IE"/>
        </w:rPr>
        <w:sectPr w:rsidR="00004B7C" w:rsidRPr="00104174" w:rsidSect="005A640A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1C9A77" w14:textId="0B386B78" w:rsidR="00E65C63" w:rsidRPr="00104174" w:rsidRDefault="00E65C63" w:rsidP="00B60276">
      <w:pPr>
        <w:sectPr w:rsidR="00E65C63" w:rsidRPr="00104174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B67F028" w14:textId="77777777" w:rsidR="0080231C" w:rsidRPr="00104174" w:rsidRDefault="0080231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</w:rPr>
        <w:sectPr w:rsidR="0080231C" w:rsidRPr="00104174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CBE820" w14:textId="77777777" w:rsidR="00004B7C" w:rsidRPr="00104174" w:rsidRDefault="00004B7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  <w:highlight w:val="green"/>
        </w:rPr>
        <w:sectPr w:rsidR="00004B7C" w:rsidRPr="00104174" w:rsidSect="003269F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97486C1" w14:textId="1F87F92B" w:rsidR="00457FBB" w:rsidRPr="006F187D" w:rsidRDefault="00261A00" w:rsidP="0021266C">
      <w:pPr>
        <w:pStyle w:val="Heading1"/>
        <w:rPr>
          <w:b/>
          <w:sz w:val="28"/>
          <w:szCs w:val="28"/>
        </w:rPr>
      </w:pPr>
      <w:r w:rsidRPr="006F187D">
        <w:rPr>
          <w:b/>
          <w:sz w:val="28"/>
          <w:szCs w:val="28"/>
        </w:rPr>
        <w:lastRenderedPageBreak/>
        <w:t>Quarter-on-Quarter Comparison</w:t>
      </w:r>
      <w:r w:rsidR="000A6757" w:rsidRPr="006F187D">
        <w:rPr>
          <w:b/>
          <w:sz w:val="28"/>
          <w:szCs w:val="28"/>
        </w:rPr>
        <w:t>: what’</w:t>
      </w:r>
      <w:r w:rsidR="000F3F7D" w:rsidRPr="006F187D">
        <w:rPr>
          <w:b/>
          <w:sz w:val="28"/>
          <w:szCs w:val="28"/>
        </w:rPr>
        <w:t>s new?</w:t>
      </w:r>
      <w:r w:rsidR="00F81FD2" w:rsidRPr="006F187D">
        <w:rPr>
          <w:rStyle w:val="FootnoteReference"/>
          <w:b/>
          <w:sz w:val="28"/>
          <w:szCs w:val="28"/>
        </w:rPr>
        <w:footnoteReference w:id="3"/>
      </w:r>
    </w:p>
    <w:p w14:paraId="09DF4CE2" w14:textId="52BB2C03" w:rsidR="00C16DAD" w:rsidRDefault="00C16DAD" w:rsidP="00B12326">
      <w:pPr>
        <w:rPr>
          <w:rFonts w:ascii="Calibri" w:hAnsi="Calibri" w:cs="Calibri"/>
        </w:rPr>
      </w:pPr>
      <w:r w:rsidRPr="006F187D">
        <w:rPr>
          <w:rFonts w:ascii="Calibri" w:hAnsi="Calibri" w:cs="Calibri"/>
        </w:rPr>
        <w:t>Of note</w:t>
      </w:r>
      <w:r w:rsidR="00A83830" w:rsidRPr="006F187D">
        <w:rPr>
          <w:rStyle w:val="FootnoteReference"/>
        </w:rPr>
        <w:t>1, 2</w:t>
      </w:r>
      <w:r w:rsidRPr="006F187D">
        <w:rPr>
          <w:rFonts w:ascii="Calibri" w:hAnsi="Calibri" w:cs="Calibri"/>
        </w:rPr>
        <w:t>:</w:t>
      </w:r>
    </w:p>
    <w:p w14:paraId="67AA99B0" w14:textId="24205CD4" w:rsidR="000B7B38" w:rsidRDefault="000B7B38" w:rsidP="00B123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section will </w:t>
      </w:r>
      <w:r w:rsidR="00150617">
        <w:rPr>
          <w:rFonts w:ascii="Calibri" w:hAnsi="Calibri" w:cs="Calibri"/>
        </w:rPr>
        <w:t>give insights into the categories</w:t>
      </w:r>
      <w:r w:rsidR="00102F78">
        <w:rPr>
          <w:rFonts w:ascii="Calibri" w:hAnsi="Calibri" w:cs="Calibri"/>
        </w:rPr>
        <w:t xml:space="preserve"> that are</w:t>
      </w:r>
      <w:r w:rsidR="00150617">
        <w:rPr>
          <w:rFonts w:ascii="Calibri" w:hAnsi="Calibri" w:cs="Calibri"/>
        </w:rPr>
        <w:t xml:space="preserve"> not profiled in more detail bel</w:t>
      </w:r>
      <w:r w:rsidR="00776DF8">
        <w:rPr>
          <w:rFonts w:ascii="Calibri" w:hAnsi="Calibri" w:cs="Calibri"/>
        </w:rPr>
        <w:t xml:space="preserve">ow. The </w:t>
      </w:r>
      <w:r w:rsidR="0053652A">
        <w:rPr>
          <w:rFonts w:ascii="Calibri" w:hAnsi="Calibri" w:cs="Calibri"/>
        </w:rPr>
        <w:t>query comparisons are from Q2 2023 versus Q2 2024</w:t>
      </w:r>
      <w:r w:rsidR="00D36644">
        <w:rPr>
          <w:rFonts w:ascii="Calibri" w:hAnsi="Calibri" w:cs="Calibri"/>
        </w:rPr>
        <w:t xml:space="preserve"> and the number in brackets relate to the number of queries this year</w:t>
      </w:r>
      <w:r w:rsidR="0053652A">
        <w:rPr>
          <w:rFonts w:ascii="Calibri" w:hAnsi="Calibri" w:cs="Calibri"/>
        </w:rPr>
        <w:t>.</w:t>
      </w:r>
    </w:p>
    <w:p w14:paraId="1C03BE74" w14:textId="68B4C461" w:rsidR="0066182C" w:rsidRDefault="0066182C" w:rsidP="00B123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Employment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5.9%</w:t>
      </w:r>
      <w:r w:rsidR="00775A8F">
        <w:rPr>
          <w:rFonts w:ascii="Calibri" w:hAnsi="Calibri" w:cs="Calibri"/>
        </w:rPr>
        <w:t xml:space="preserve"> (11</w:t>
      </w:r>
      <w:r w:rsidR="00D36644">
        <w:rPr>
          <w:rFonts w:ascii="Calibri" w:hAnsi="Calibri" w:cs="Calibri"/>
        </w:rPr>
        <w:t>,209)</w:t>
      </w:r>
      <w:r>
        <w:rPr>
          <w:rFonts w:ascii="Calibri" w:hAnsi="Calibri" w:cs="Calibri"/>
        </w:rPr>
        <w:t>.</w:t>
      </w:r>
    </w:p>
    <w:p w14:paraId="782BC322" w14:textId="6D6D53E1" w:rsidR="0066182C" w:rsidRDefault="0066182C" w:rsidP="0066182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Employment rights and conditions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10</w:t>
      </w:r>
      <w:r w:rsidR="00D36644">
        <w:rPr>
          <w:rFonts w:ascii="Calibri" w:hAnsi="Calibri" w:cs="Calibri"/>
        </w:rPr>
        <w:t>.1</w:t>
      </w:r>
      <w:r>
        <w:rPr>
          <w:rFonts w:ascii="Calibri" w:hAnsi="Calibri" w:cs="Calibri"/>
        </w:rPr>
        <w:t>%</w:t>
      </w:r>
      <w:r w:rsidR="00D36644">
        <w:rPr>
          <w:rFonts w:ascii="Calibri" w:hAnsi="Calibri" w:cs="Calibri"/>
        </w:rPr>
        <w:t xml:space="preserve"> (6,587)</w:t>
      </w:r>
      <w:r>
        <w:rPr>
          <w:rFonts w:ascii="Calibri" w:hAnsi="Calibri" w:cs="Calibri"/>
        </w:rPr>
        <w:t>.</w:t>
      </w:r>
    </w:p>
    <w:p w14:paraId="7B88619B" w14:textId="787C14C7" w:rsidR="0066182C" w:rsidRDefault="0066182C" w:rsidP="0066182C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Contracts of Employment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</w:t>
      </w:r>
      <w:r w:rsidR="005B5AD1">
        <w:rPr>
          <w:rFonts w:ascii="Calibri" w:hAnsi="Calibri" w:cs="Calibri"/>
        </w:rPr>
        <w:t>13.4%</w:t>
      </w:r>
      <w:r w:rsidR="00AF2A53">
        <w:rPr>
          <w:rFonts w:ascii="Calibri" w:hAnsi="Calibri" w:cs="Calibri"/>
        </w:rPr>
        <w:t xml:space="preserve"> (1,103)</w:t>
      </w:r>
      <w:r w:rsidR="005B5AD1">
        <w:rPr>
          <w:rFonts w:ascii="Calibri" w:hAnsi="Calibri" w:cs="Calibri"/>
        </w:rPr>
        <w:t>.</w:t>
      </w:r>
    </w:p>
    <w:p w14:paraId="6BD40A3D" w14:textId="738B8928" w:rsidR="0066182C" w:rsidRDefault="0066182C" w:rsidP="0066182C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Leave and Holidays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33.2%</w:t>
      </w:r>
      <w:r w:rsidR="00AF2A53">
        <w:rPr>
          <w:rFonts w:ascii="Calibri" w:hAnsi="Calibri" w:cs="Calibri"/>
        </w:rPr>
        <w:t xml:space="preserve"> </w:t>
      </w:r>
      <w:r w:rsidR="00184F17">
        <w:rPr>
          <w:rFonts w:ascii="Calibri" w:hAnsi="Calibri" w:cs="Calibri"/>
        </w:rPr>
        <w:t>(865)</w:t>
      </w:r>
      <w:r>
        <w:rPr>
          <w:rFonts w:ascii="Calibri" w:hAnsi="Calibri" w:cs="Calibri"/>
        </w:rPr>
        <w:t>.</w:t>
      </w:r>
    </w:p>
    <w:p w14:paraId="46D5B091" w14:textId="30F860E1" w:rsidR="0066182C" w:rsidRDefault="0066182C" w:rsidP="0066182C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Sick Leave and Sick Pay Scheme increased by 12.4%</w:t>
      </w:r>
      <w:r w:rsidR="00184F17">
        <w:rPr>
          <w:rFonts w:ascii="Calibri" w:hAnsi="Calibri" w:cs="Calibri"/>
        </w:rPr>
        <w:t xml:space="preserve"> (745)</w:t>
      </w:r>
      <w:r>
        <w:rPr>
          <w:rFonts w:ascii="Calibri" w:hAnsi="Calibri" w:cs="Calibri"/>
        </w:rPr>
        <w:t>.</w:t>
      </w:r>
    </w:p>
    <w:p w14:paraId="335DB20F" w14:textId="1FC25463" w:rsidR="0066182C" w:rsidRDefault="0066182C" w:rsidP="0066182C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Pay/Wages queries decreased by 24.6%</w:t>
      </w:r>
      <w:r w:rsidR="00184F17">
        <w:rPr>
          <w:rFonts w:ascii="Calibri" w:hAnsi="Calibri" w:cs="Calibri"/>
        </w:rPr>
        <w:t xml:space="preserve"> (604)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</w:p>
    <w:p w14:paraId="3D6B8B57" w14:textId="516521B0" w:rsidR="0066182C" w:rsidRDefault="0066182C" w:rsidP="0066182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Self-Employment queries increased by 21.7%</w:t>
      </w:r>
      <w:r w:rsidR="00241D53">
        <w:rPr>
          <w:rFonts w:ascii="Calibri" w:hAnsi="Calibri" w:cs="Calibri"/>
        </w:rPr>
        <w:t xml:space="preserve"> (969)</w:t>
      </w:r>
      <w:r>
        <w:rPr>
          <w:rFonts w:ascii="Calibri" w:hAnsi="Calibri" w:cs="Calibri"/>
        </w:rPr>
        <w:t>.</w:t>
      </w:r>
    </w:p>
    <w:p w14:paraId="10139591" w14:textId="6DA95259" w:rsidR="0066182C" w:rsidRDefault="0066182C" w:rsidP="0066182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Unemployment and redundancy queries decreased by 20.8%</w:t>
      </w:r>
      <w:r w:rsidR="00241D53">
        <w:rPr>
          <w:rFonts w:ascii="Calibri" w:hAnsi="Calibri" w:cs="Calibri"/>
        </w:rPr>
        <w:t xml:space="preserve"> (933)</w:t>
      </w:r>
      <w:r>
        <w:rPr>
          <w:rFonts w:ascii="Calibri" w:hAnsi="Calibri" w:cs="Calibri"/>
        </w:rPr>
        <w:t>.</w:t>
      </w:r>
    </w:p>
    <w:p w14:paraId="57664279" w14:textId="3ED43FF7" w:rsidR="0066182C" w:rsidRDefault="0066182C" w:rsidP="0066182C">
      <w:pPr>
        <w:rPr>
          <w:rFonts w:ascii="Calibri" w:hAnsi="Calibri" w:cs="Calibri"/>
        </w:rPr>
      </w:pPr>
      <w:r>
        <w:rPr>
          <w:rFonts w:ascii="Calibri" w:hAnsi="Calibri" w:cs="Calibri"/>
        </w:rPr>
        <w:t>Money and Tax queries decreased by 9.5%</w:t>
      </w:r>
      <w:r w:rsidR="00241D53">
        <w:rPr>
          <w:rFonts w:ascii="Calibri" w:hAnsi="Calibri" w:cs="Calibri"/>
        </w:rPr>
        <w:t xml:space="preserve"> (10,171)</w:t>
      </w:r>
      <w:r w:rsidR="00A06E28">
        <w:rPr>
          <w:rFonts w:ascii="Calibri" w:hAnsi="Calibri" w:cs="Calibri"/>
        </w:rPr>
        <w:t>.</w:t>
      </w:r>
    </w:p>
    <w:p w14:paraId="56CCF555" w14:textId="0A356BEF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Income Tax Credits and Reliefs queries decreased by 12.2%</w:t>
      </w:r>
      <w:r w:rsidR="000D124F">
        <w:rPr>
          <w:rFonts w:ascii="Calibri" w:hAnsi="Calibri" w:cs="Calibri"/>
        </w:rPr>
        <w:t xml:space="preserve"> (2,313)</w:t>
      </w:r>
      <w:r>
        <w:rPr>
          <w:rFonts w:ascii="Calibri" w:hAnsi="Calibri" w:cs="Calibri"/>
        </w:rPr>
        <w:t>.</w:t>
      </w:r>
    </w:p>
    <w:p w14:paraId="1D669B4D" w14:textId="5A0E3479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Income Tax queries </w:t>
      </w:r>
      <w:r w:rsidR="00A06E28">
        <w:rPr>
          <w:rFonts w:ascii="Calibri" w:hAnsi="Calibri" w:cs="Calibri"/>
        </w:rPr>
        <w:t xml:space="preserve">decreased </w:t>
      </w:r>
      <w:r>
        <w:rPr>
          <w:rFonts w:ascii="Calibri" w:hAnsi="Calibri" w:cs="Calibri"/>
        </w:rPr>
        <w:t>by 9.2%</w:t>
      </w:r>
      <w:r w:rsidR="000D124F">
        <w:rPr>
          <w:rFonts w:ascii="Calibri" w:hAnsi="Calibri" w:cs="Calibri"/>
        </w:rPr>
        <w:t xml:space="preserve"> (1,825)</w:t>
      </w:r>
      <w:r>
        <w:rPr>
          <w:rFonts w:ascii="Calibri" w:hAnsi="Calibri" w:cs="Calibri"/>
        </w:rPr>
        <w:t>.</w:t>
      </w:r>
    </w:p>
    <w:p w14:paraId="08E9D5F1" w14:textId="5FBFF05F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Revenue Online queries decreased by 11.1%</w:t>
      </w:r>
      <w:r w:rsidR="000D124F">
        <w:rPr>
          <w:rFonts w:ascii="Calibri" w:hAnsi="Calibri" w:cs="Calibri"/>
        </w:rPr>
        <w:t xml:space="preserve"> (</w:t>
      </w:r>
      <w:r w:rsidR="003272C3">
        <w:rPr>
          <w:rFonts w:ascii="Calibri" w:hAnsi="Calibri" w:cs="Calibri"/>
        </w:rPr>
        <w:t>1,527)</w:t>
      </w:r>
      <w:r>
        <w:rPr>
          <w:rFonts w:ascii="Calibri" w:hAnsi="Calibri" w:cs="Calibri"/>
        </w:rPr>
        <w:t>.</w:t>
      </w:r>
    </w:p>
    <w:p w14:paraId="25B73C7B" w14:textId="4FDE3A47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Income Tax refund queries decreased by 9.8%</w:t>
      </w:r>
      <w:r w:rsidR="003272C3">
        <w:rPr>
          <w:rFonts w:ascii="Calibri" w:hAnsi="Calibri" w:cs="Calibri"/>
        </w:rPr>
        <w:t xml:space="preserve"> (615)</w:t>
      </w:r>
      <w:r>
        <w:rPr>
          <w:rFonts w:ascii="Calibri" w:hAnsi="Calibri" w:cs="Calibri"/>
        </w:rPr>
        <w:t>.</w:t>
      </w:r>
    </w:p>
    <w:p w14:paraId="116380C3" w14:textId="40BC9E64" w:rsidR="004B6CCF" w:rsidRDefault="004B6CCF" w:rsidP="004B6CCF">
      <w:pPr>
        <w:rPr>
          <w:rFonts w:ascii="Calibri" w:hAnsi="Calibri" w:cs="Calibri"/>
        </w:rPr>
      </w:pPr>
      <w:r>
        <w:rPr>
          <w:rFonts w:ascii="Calibri" w:hAnsi="Calibri" w:cs="Calibri"/>
        </w:rPr>
        <w:t>Moving Country quer</w:t>
      </w:r>
      <w:r w:rsidR="006659D6">
        <w:rPr>
          <w:rFonts w:ascii="Calibri" w:hAnsi="Calibri" w:cs="Calibri"/>
        </w:rPr>
        <w:t xml:space="preserve">y </w:t>
      </w:r>
      <w:r w:rsidR="00E43A48">
        <w:rPr>
          <w:rFonts w:ascii="Calibri" w:hAnsi="Calibri" w:cs="Calibri"/>
        </w:rPr>
        <w:t>numbers</w:t>
      </w:r>
      <w:r>
        <w:rPr>
          <w:rFonts w:ascii="Calibri" w:hAnsi="Calibri" w:cs="Calibri"/>
        </w:rPr>
        <w:t xml:space="preserve"> remained steady </w:t>
      </w:r>
      <w:r w:rsidR="003272C3">
        <w:rPr>
          <w:rFonts w:ascii="Calibri" w:hAnsi="Calibri" w:cs="Calibri"/>
        </w:rPr>
        <w:t>(9,3</w:t>
      </w:r>
      <w:r w:rsidR="00A26291">
        <w:rPr>
          <w:rFonts w:ascii="Calibri" w:hAnsi="Calibri" w:cs="Calibri"/>
        </w:rPr>
        <w:t>31)</w:t>
      </w:r>
      <w:r>
        <w:rPr>
          <w:rFonts w:ascii="Calibri" w:hAnsi="Calibri" w:cs="Calibri"/>
        </w:rPr>
        <w:t>.</w:t>
      </w:r>
    </w:p>
    <w:p w14:paraId="67D47CB0" w14:textId="098B84D5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Irish Citizenship queries decreased by 20.3%</w:t>
      </w:r>
      <w:r w:rsidR="00E20B01">
        <w:rPr>
          <w:rFonts w:ascii="Calibri" w:hAnsi="Calibri" w:cs="Calibri"/>
        </w:rPr>
        <w:t xml:space="preserve"> (2,978)</w:t>
      </w:r>
      <w:r>
        <w:rPr>
          <w:rFonts w:ascii="Calibri" w:hAnsi="Calibri" w:cs="Calibri"/>
        </w:rPr>
        <w:t>.</w:t>
      </w:r>
    </w:p>
    <w:p w14:paraId="0A575A48" w14:textId="4A4DDFEE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Visa queries increased by 13.9%</w:t>
      </w:r>
      <w:r w:rsidR="00E20B01">
        <w:rPr>
          <w:rFonts w:ascii="Calibri" w:hAnsi="Calibri" w:cs="Calibri"/>
        </w:rPr>
        <w:t xml:space="preserve"> (854)</w:t>
      </w:r>
      <w:r>
        <w:rPr>
          <w:rFonts w:ascii="Calibri" w:hAnsi="Calibri" w:cs="Calibri"/>
        </w:rPr>
        <w:t>.</w:t>
      </w:r>
    </w:p>
    <w:p w14:paraId="4A6605B5" w14:textId="500E4992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Irish Residence Permit (IRP) Applications and Renewals increased by 14.1%</w:t>
      </w:r>
      <w:r w:rsidR="00E20B01">
        <w:rPr>
          <w:rFonts w:ascii="Calibri" w:hAnsi="Calibri" w:cs="Calibri"/>
        </w:rPr>
        <w:t xml:space="preserve"> (719)</w:t>
      </w:r>
      <w:r>
        <w:rPr>
          <w:rFonts w:ascii="Calibri" w:hAnsi="Calibri" w:cs="Calibri"/>
        </w:rPr>
        <w:t>.</w:t>
      </w:r>
    </w:p>
    <w:p w14:paraId="017BA7D8" w14:textId="67C8B6F6" w:rsidR="004B6CCF" w:rsidRDefault="004B6CCF" w:rsidP="004B6CC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Asylum Seekers and Refugees queries increased by 88.1%</w:t>
      </w:r>
      <w:r w:rsidR="00775A8F">
        <w:rPr>
          <w:rFonts w:ascii="Calibri" w:hAnsi="Calibri" w:cs="Calibri"/>
        </w:rPr>
        <w:t xml:space="preserve"> (472)</w:t>
      </w:r>
      <w:r>
        <w:rPr>
          <w:rFonts w:ascii="Calibri" w:hAnsi="Calibri" w:cs="Calibri"/>
        </w:rPr>
        <w:t>.</w:t>
      </w:r>
    </w:p>
    <w:p w14:paraId="2CCB48EE" w14:textId="1BD6ABD3" w:rsidR="003C2904" w:rsidRDefault="00D221B1" w:rsidP="003C290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Travel and Recreation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2.7%</w:t>
      </w:r>
      <w:r w:rsidR="006659D6">
        <w:rPr>
          <w:rFonts w:ascii="Calibri" w:hAnsi="Calibri" w:cs="Calibri"/>
        </w:rPr>
        <w:t xml:space="preserve"> (5,165)</w:t>
      </w:r>
      <w:r>
        <w:rPr>
          <w:rFonts w:ascii="Calibri" w:hAnsi="Calibri" w:cs="Calibri"/>
        </w:rPr>
        <w:t>.</w:t>
      </w:r>
    </w:p>
    <w:p w14:paraId="54C3FF56" w14:textId="57B1CB4B" w:rsidR="00D221B1" w:rsidRDefault="00920117" w:rsidP="00D221B1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Queries relating to Motoring increased by 9.1% (1,865).</w:t>
      </w:r>
    </w:p>
    <w:p w14:paraId="3035DFD2" w14:textId="51178F19" w:rsidR="00920117" w:rsidRDefault="00920117" w:rsidP="00D221B1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Passport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9.4% (1,727)</w:t>
      </w:r>
      <w:r w:rsidR="00B725E5">
        <w:rPr>
          <w:rFonts w:ascii="Calibri" w:hAnsi="Calibri" w:cs="Calibri"/>
        </w:rPr>
        <w:t>.</w:t>
      </w:r>
    </w:p>
    <w:p w14:paraId="7CCE13B5" w14:textId="25EED4CF" w:rsidR="00B725E5" w:rsidRDefault="00B725E5" w:rsidP="00B725E5">
      <w:pPr>
        <w:rPr>
          <w:rFonts w:ascii="Calibri" w:hAnsi="Calibri" w:cs="Calibri"/>
        </w:rPr>
      </w:pPr>
      <w:r>
        <w:rPr>
          <w:rFonts w:ascii="Calibri" w:hAnsi="Calibri" w:cs="Calibri"/>
        </w:rPr>
        <w:t>Justic</w:t>
      </w:r>
      <w:r w:rsidR="00EB2FB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2.6% (</w:t>
      </w:r>
      <w:r w:rsidR="006659D6">
        <w:rPr>
          <w:rFonts w:ascii="Calibri" w:hAnsi="Calibri" w:cs="Calibri"/>
        </w:rPr>
        <w:t>4,718</w:t>
      </w:r>
      <w:r>
        <w:rPr>
          <w:rFonts w:ascii="Calibri" w:hAnsi="Calibri" w:cs="Calibri"/>
        </w:rPr>
        <w:t>).</w:t>
      </w:r>
    </w:p>
    <w:p w14:paraId="1E5071F0" w14:textId="1D410231" w:rsidR="00B725E5" w:rsidRDefault="00ED5BF9" w:rsidP="00B725E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Legal Aid and Advice queries </w:t>
      </w:r>
      <w:r w:rsidR="007C3077">
        <w:rPr>
          <w:rFonts w:ascii="Calibri" w:hAnsi="Calibri" w:cs="Calibri"/>
        </w:rPr>
        <w:t>declined</w:t>
      </w:r>
      <w:r w:rsidR="00102F78">
        <w:rPr>
          <w:rFonts w:ascii="Calibri" w:hAnsi="Calibri" w:cs="Calibri"/>
        </w:rPr>
        <w:t xml:space="preserve"> by</w:t>
      </w:r>
      <w:r>
        <w:rPr>
          <w:rFonts w:ascii="Calibri" w:hAnsi="Calibri" w:cs="Calibri"/>
        </w:rPr>
        <w:t xml:space="preserve"> 7.5%</w:t>
      </w:r>
      <w:r w:rsidR="00D00DB5">
        <w:rPr>
          <w:rFonts w:ascii="Calibri" w:hAnsi="Calibri" w:cs="Calibri"/>
        </w:rPr>
        <w:t xml:space="preserve"> (2,217).</w:t>
      </w:r>
    </w:p>
    <w:p w14:paraId="6EBC73F5" w14:textId="022DDF53" w:rsidR="00DF163F" w:rsidRDefault="00DF163F" w:rsidP="00DF16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Birth, Family and Relationships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10.6%</w:t>
      </w:r>
      <w:r w:rsidR="00B0197E">
        <w:rPr>
          <w:rFonts w:ascii="Calibri" w:hAnsi="Calibri" w:cs="Calibri"/>
        </w:rPr>
        <w:t xml:space="preserve"> (4,060)</w:t>
      </w:r>
    </w:p>
    <w:p w14:paraId="378CD1C4" w14:textId="22E642C0" w:rsidR="00B0197E" w:rsidRDefault="00B0197E" w:rsidP="00B0197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Separation and Divorce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8% (1</w:t>
      </w:r>
      <w:r w:rsidR="00A21D05">
        <w:rPr>
          <w:rFonts w:ascii="Calibri" w:hAnsi="Calibri" w:cs="Calibri"/>
        </w:rPr>
        <w:t>,209).</w:t>
      </w:r>
    </w:p>
    <w:p w14:paraId="583BB097" w14:textId="7670B981" w:rsidR="00A21D05" w:rsidRDefault="00A21D05" w:rsidP="00B0197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Maintenance queries </w:t>
      </w:r>
      <w:r w:rsidR="007C3077">
        <w:rPr>
          <w:rFonts w:ascii="Calibri" w:hAnsi="Calibri" w:cs="Calibri"/>
        </w:rPr>
        <w:t>declined</w:t>
      </w:r>
      <w:r w:rsidR="00102F78">
        <w:rPr>
          <w:rFonts w:ascii="Calibri" w:hAnsi="Calibri" w:cs="Calibri"/>
        </w:rPr>
        <w:t xml:space="preserve"> by</w:t>
      </w:r>
      <w:r>
        <w:rPr>
          <w:rFonts w:ascii="Calibri" w:hAnsi="Calibri" w:cs="Calibri"/>
        </w:rPr>
        <w:t xml:space="preserve"> 7.2% (571 queries).</w:t>
      </w:r>
    </w:p>
    <w:p w14:paraId="0A456217" w14:textId="324C7B0E" w:rsidR="00277A6B" w:rsidRDefault="00277A6B" w:rsidP="00277A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Education and training </w:t>
      </w:r>
      <w:r w:rsidR="00F47649">
        <w:rPr>
          <w:rFonts w:ascii="Calibri" w:hAnsi="Calibri" w:cs="Calibri"/>
        </w:rPr>
        <w:t>queries increased by 9.6% (3,581 queries).</w:t>
      </w:r>
    </w:p>
    <w:p w14:paraId="628825B5" w14:textId="17F3B0DB" w:rsidR="00F47649" w:rsidRDefault="00846BBF" w:rsidP="00F4764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Third level Education queries increased by 5.1% (1,694).</w:t>
      </w:r>
    </w:p>
    <w:p w14:paraId="43446FD2" w14:textId="4BFE2346" w:rsidR="00846BBF" w:rsidRDefault="00846BBF" w:rsidP="00F4764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Vocational Education and Training increased by 65.8% (504 queries).</w:t>
      </w:r>
    </w:p>
    <w:p w14:paraId="14599C40" w14:textId="256EC80C" w:rsidR="00917E09" w:rsidRDefault="00917E09" w:rsidP="00917E0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Consumer Affairs queries </w:t>
      </w:r>
      <w:r w:rsidR="007C3077">
        <w:rPr>
          <w:rFonts w:ascii="Calibri" w:hAnsi="Calibri" w:cs="Calibri"/>
        </w:rPr>
        <w:t>declined</w:t>
      </w:r>
      <w:r>
        <w:rPr>
          <w:rFonts w:ascii="Calibri" w:hAnsi="Calibri" w:cs="Calibri"/>
        </w:rPr>
        <w:t xml:space="preserve"> by 7.7% (</w:t>
      </w:r>
      <w:r w:rsidR="000D4AEE">
        <w:rPr>
          <w:rFonts w:ascii="Calibri" w:hAnsi="Calibri" w:cs="Calibri"/>
        </w:rPr>
        <w:t>2,629).</w:t>
      </w:r>
    </w:p>
    <w:p w14:paraId="2203AFF9" w14:textId="66D526E8" w:rsidR="000D4AEE" w:rsidRDefault="00C710D3" w:rsidP="000D4AE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Energy/utilities Services increased by 0.9% (587 queries).</w:t>
      </w:r>
    </w:p>
    <w:p w14:paraId="01ECEAEB" w14:textId="1FB9FF82" w:rsidR="00C710D3" w:rsidRDefault="00C710D3" w:rsidP="000D4AE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Consumer protection queries decreased by 18.4% (584</w:t>
      </w:r>
      <w:r w:rsidR="00D84F62">
        <w:rPr>
          <w:rFonts w:ascii="Calibri" w:hAnsi="Calibri" w:cs="Calibri"/>
        </w:rPr>
        <w:t xml:space="preserve"> queries)</w:t>
      </w:r>
      <w:r w:rsidR="00AF403D">
        <w:rPr>
          <w:rFonts w:ascii="Calibri" w:hAnsi="Calibri" w:cs="Calibri"/>
        </w:rPr>
        <w:t>.</w:t>
      </w:r>
    </w:p>
    <w:p w14:paraId="3C45A688" w14:textId="277C565A" w:rsidR="00AF403D" w:rsidRDefault="00AF403D" w:rsidP="00AF403D">
      <w:pPr>
        <w:rPr>
          <w:rFonts w:ascii="Calibri" w:hAnsi="Calibri" w:cs="Calibri"/>
        </w:rPr>
      </w:pPr>
      <w:r>
        <w:rPr>
          <w:rFonts w:ascii="Calibri" w:hAnsi="Calibri" w:cs="Calibri"/>
        </w:rPr>
        <w:t>Government in Ireland queries increased by 35.1% (1,620).</w:t>
      </w:r>
    </w:p>
    <w:p w14:paraId="4EE267FD" w14:textId="7735E7DE" w:rsidR="00AF403D" w:rsidRDefault="009A7AD2" w:rsidP="00AF403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MyGovID queries increased by 18.5% (480).</w:t>
      </w:r>
    </w:p>
    <w:p w14:paraId="158FFFC7" w14:textId="3D7863F3" w:rsidR="009A7AD2" w:rsidRPr="00AF403D" w:rsidRDefault="009A7AD2" w:rsidP="00AF403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Elections and Refer</w:t>
      </w:r>
      <w:r w:rsidR="00712EE6">
        <w:rPr>
          <w:rFonts w:ascii="Calibri" w:hAnsi="Calibri" w:cs="Calibri"/>
        </w:rPr>
        <w:t>enda increased significantly by 1146.2% (26 in Q2 2023 to 324 in Q2 2024)</w:t>
      </w:r>
    </w:p>
    <w:p w14:paraId="6C9FBB43" w14:textId="77777777" w:rsidR="00A21D05" w:rsidRPr="00B0197E" w:rsidRDefault="00A21D05" w:rsidP="00A21D05">
      <w:pPr>
        <w:pStyle w:val="ListParagraph"/>
        <w:ind w:left="1080"/>
        <w:rPr>
          <w:rFonts w:ascii="Calibri" w:hAnsi="Calibri" w:cs="Calibri"/>
        </w:rPr>
      </w:pPr>
    </w:p>
    <w:p w14:paraId="51763463" w14:textId="7681566D" w:rsidR="004B6CCF" w:rsidRPr="004B6CCF" w:rsidRDefault="004B6CCF" w:rsidP="004B6CCF">
      <w:pPr>
        <w:rPr>
          <w:rFonts w:ascii="Calibri" w:hAnsi="Calibri" w:cs="Calibri"/>
        </w:rPr>
      </w:pPr>
    </w:p>
    <w:p w14:paraId="2599CFF1" w14:textId="47A6F032" w:rsidR="00D407A8" w:rsidRPr="00104174" w:rsidRDefault="00F84912" w:rsidP="000048CD">
      <w:pPr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</w:pPr>
      <w:bookmarkStart w:id="0" w:name="_Hlk142056472"/>
      <w:r w:rsidRPr="00104174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 xml:space="preserve">Table </w:t>
      </w:r>
      <w:r w:rsidR="006659D6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>10:</w:t>
      </w:r>
      <w:r w:rsidRPr="00104174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 xml:space="preserve"> </w:t>
      </w:r>
      <w:bookmarkStart w:id="1" w:name="_Hlk142056618"/>
      <w:r w:rsidRPr="00104174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 xml:space="preserve">Most queried </w:t>
      </w:r>
      <w:r w:rsidR="00315A0E" w:rsidRPr="00104174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>payments and schemes</w:t>
      </w:r>
      <w:r w:rsidRPr="00104174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 xml:space="preserve"> by age category</w:t>
      </w:r>
      <w:bookmarkEnd w:id="1"/>
    </w:p>
    <w:tbl>
      <w:tblPr>
        <w:tblStyle w:val="GridTable5Dark-Accent6"/>
        <w:tblW w:w="11058" w:type="dxa"/>
        <w:tblInd w:w="-431" w:type="dxa"/>
        <w:tblLook w:val="04A0" w:firstRow="1" w:lastRow="0" w:firstColumn="1" w:lastColumn="0" w:noHBand="0" w:noVBand="1"/>
      </w:tblPr>
      <w:tblGrid>
        <w:gridCol w:w="993"/>
        <w:gridCol w:w="3119"/>
        <w:gridCol w:w="2410"/>
        <w:gridCol w:w="2393"/>
        <w:gridCol w:w="2143"/>
      </w:tblGrid>
      <w:tr w:rsidR="00D407A8" w:rsidRPr="00104174" w14:paraId="65D9DB1C" w14:textId="77777777" w:rsidTr="003D6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5CD4419" w14:textId="06A1ECFF" w:rsidR="00D407A8" w:rsidRPr="00104174" w:rsidRDefault="00E501E4" w:rsidP="000854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softHyphen/>
            </w:r>
            <w:r w:rsidRPr="00104174">
              <w:rPr>
                <w:rFonts w:ascii="Calibri" w:hAnsi="Calibri" w:cs="Calibri"/>
                <w:sz w:val="20"/>
                <w:szCs w:val="20"/>
              </w:rPr>
              <w:softHyphen/>
            </w:r>
            <w:r w:rsidRPr="00104174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  <w:tc>
          <w:tcPr>
            <w:tcW w:w="3119" w:type="dxa"/>
          </w:tcPr>
          <w:p w14:paraId="3EBA57A3" w14:textId="1A7FC163" w:rsidR="00D407A8" w:rsidRPr="008D5840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D5840">
              <w:rPr>
                <w:rFonts w:ascii="Calibri" w:hAnsi="Calibri" w:cs="Calibri"/>
                <w:sz w:val="21"/>
                <w:szCs w:val="21"/>
              </w:rPr>
              <w:t>25 and Under</w:t>
            </w:r>
          </w:p>
        </w:tc>
        <w:tc>
          <w:tcPr>
            <w:tcW w:w="2410" w:type="dxa"/>
          </w:tcPr>
          <w:p w14:paraId="0DC0D8EA" w14:textId="343AF9F4" w:rsidR="00D407A8" w:rsidRPr="008D5840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D5840">
              <w:rPr>
                <w:rFonts w:ascii="Calibri" w:hAnsi="Calibri" w:cs="Calibri"/>
                <w:sz w:val="21"/>
                <w:szCs w:val="21"/>
              </w:rPr>
              <w:t>26-45</w:t>
            </w:r>
          </w:p>
        </w:tc>
        <w:tc>
          <w:tcPr>
            <w:tcW w:w="2393" w:type="dxa"/>
          </w:tcPr>
          <w:p w14:paraId="3A4E5489" w14:textId="55EE0EC1" w:rsidR="00D407A8" w:rsidRPr="008D5840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D5840">
              <w:rPr>
                <w:rFonts w:ascii="Calibri" w:hAnsi="Calibri" w:cs="Calibri"/>
                <w:sz w:val="21"/>
                <w:szCs w:val="21"/>
              </w:rPr>
              <w:t>46-65</w:t>
            </w:r>
          </w:p>
        </w:tc>
        <w:tc>
          <w:tcPr>
            <w:tcW w:w="2143" w:type="dxa"/>
          </w:tcPr>
          <w:p w14:paraId="6A0DE934" w14:textId="35BC3531" w:rsidR="00D407A8" w:rsidRPr="008D5840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D5840">
              <w:rPr>
                <w:rFonts w:ascii="Calibri" w:hAnsi="Calibri" w:cs="Calibri"/>
                <w:sz w:val="21"/>
                <w:szCs w:val="21"/>
              </w:rPr>
              <w:t xml:space="preserve">66 and </w:t>
            </w:r>
            <w:r w:rsidR="003D68BF" w:rsidRPr="008D5840">
              <w:rPr>
                <w:rFonts w:ascii="Calibri" w:hAnsi="Calibri" w:cs="Calibri"/>
                <w:sz w:val="21"/>
                <w:szCs w:val="21"/>
              </w:rPr>
              <w:t>Over</w:t>
            </w:r>
          </w:p>
        </w:tc>
      </w:tr>
      <w:tr w:rsidR="00601378" w:rsidRPr="00104174" w14:paraId="47D5485F" w14:textId="77777777" w:rsidTr="003D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1B7A161" w14:textId="654C7D2E" w:rsidR="00601378" w:rsidRPr="00104174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17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14:paraId="2CB6E8C5" w14:textId="76616B9A" w:rsidR="00601378" w:rsidRPr="00D66B24" w:rsidRDefault="004B6CC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(SUSI) Student Grant Scheme</w:t>
            </w:r>
          </w:p>
        </w:tc>
        <w:tc>
          <w:tcPr>
            <w:tcW w:w="2410" w:type="dxa"/>
            <w:vAlign w:val="bottom"/>
          </w:tcPr>
          <w:p w14:paraId="000CA204" w14:textId="575187C0" w:rsidR="00601378" w:rsidRPr="00D66B24" w:rsidRDefault="003D68B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Medical card</w:t>
            </w:r>
            <w:r w:rsidR="00601378"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393" w:type="dxa"/>
            <w:vAlign w:val="bottom"/>
          </w:tcPr>
          <w:p w14:paraId="7FB01BC3" w14:textId="35428103" w:rsidR="00601378" w:rsidRPr="00D66B24" w:rsidRDefault="00601378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State Pension </w:t>
            </w:r>
            <w:r w:rsid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(</w:t>
            </w: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Contributory</w:t>
            </w:r>
            <w:r w:rsid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2143" w:type="dxa"/>
            <w:vAlign w:val="bottom"/>
          </w:tcPr>
          <w:p w14:paraId="2225FD68" w14:textId="140044A0" w:rsidR="00601378" w:rsidRPr="00D66B24" w:rsidRDefault="003D68B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</w:tr>
      <w:tr w:rsidR="00601378" w:rsidRPr="00104174" w14:paraId="49ACA38A" w14:textId="77777777" w:rsidTr="003D6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C463103" w14:textId="426B33C3" w:rsidR="00601378" w:rsidRPr="00104174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17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14:paraId="0BD32B64" w14:textId="5DD24B65" w:rsidR="00601378" w:rsidRPr="00D66B24" w:rsidRDefault="004B6CCF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410" w:type="dxa"/>
            <w:vAlign w:val="bottom"/>
          </w:tcPr>
          <w:p w14:paraId="3F345300" w14:textId="46CB2532" w:rsidR="00601378" w:rsidRPr="00D66B24" w:rsidRDefault="003D68BF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2393" w:type="dxa"/>
            <w:vAlign w:val="bottom"/>
          </w:tcPr>
          <w:p w14:paraId="5560FF44" w14:textId="7AF3E891" w:rsidR="00601378" w:rsidRPr="00D66B24" w:rsidRDefault="00601378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Disability Allowance </w:t>
            </w:r>
          </w:p>
        </w:tc>
        <w:tc>
          <w:tcPr>
            <w:tcW w:w="2143" w:type="dxa"/>
            <w:vAlign w:val="bottom"/>
          </w:tcPr>
          <w:p w14:paraId="052DAC7F" w14:textId="10966E96" w:rsidR="00601378" w:rsidRPr="00D66B24" w:rsidRDefault="003D68BF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State Pension </w:t>
            </w:r>
            <w:r w:rsid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(</w:t>
            </w: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Contributory</w:t>
            </w:r>
            <w:r w:rsid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)</w:t>
            </w:r>
          </w:p>
        </w:tc>
      </w:tr>
      <w:tr w:rsidR="00601378" w:rsidRPr="00104174" w14:paraId="754E2221" w14:textId="77777777" w:rsidTr="003D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F0AD479" w14:textId="25ADA8D1" w:rsidR="00601378" w:rsidRPr="00104174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17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14:paraId="5D862303" w14:textId="045A7DAA" w:rsidR="00601378" w:rsidRPr="00D66B24" w:rsidRDefault="004B6CC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Jobseeker’s</w:t>
            </w:r>
            <w:r w:rsidR="00601378"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Allowance </w:t>
            </w:r>
          </w:p>
        </w:tc>
        <w:tc>
          <w:tcPr>
            <w:tcW w:w="2410" w:type="dxa"/>
            <w:vAlign w:val="bottom"/>
          </w:tcPr>
          <w:p w14:paraId="7DFA0A12" w14:textId="727913B1" w:rsidR="00601378" w:rsidRPr="00D66B24" w:rsidRDefault="003D68B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393" w:type="dxa"/>
            <w:vAlign w:val="bottom"/>
          </w:tcPr>
          <w:p w14:paraId="7C614886" w14:textId="59E0F2F8" w:rsidR="00601378" w:rsidRPr="00D66B24" w:rsidRDefault="003D68B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Medical Card</w:t>
            </w:r>
            <w:r w:rsidR="00601378"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143" w:type="dxa"/>
            <w:vAlign w:val="bottom"/>
          </w:tcPr>
          <w:p w14:paraId="3B2843C7" w14:textId="4B7EBE67" w:rsidR="00601378" w:rsidRPr="00D66B24" w:rsidRDefault="003D68B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  <w:r w:rsidR="00601378"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601378" w:rsidRPr="00104174" w14:paraId="47CDC6E2" w14:textId="77777777" w:rsidTr="003D6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29994A1" w14:textId="53D6EBCB" w:rsidR="00601378" w:rsidRPr="00104174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17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14:paraId="48E7C5BF" w14:textId="5FE52004" w:rsidR="00601378" w:rsidRPr="00D66B24" w:rsidRDefault="004B6CCF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410" w:type="dxa"/>
            <w:vAlign w:val="bottom"/>
          </w:tcPr>
          <w:p w14:paraId="7E9A0161" w14:textId="5543B9BD" w:rsidR="00601378" w:rsidRPr="00D66B24" w:rsidRDefault="00601378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Working family payment </w:t>
            </w:r>
          </w:p>
        </w:tc>
        <w:tc>
          <w:tcPr>
            <w:tcW w:w="2393" w:type="dxa"/>
            <w:vAlign w:val="bottom"/>
          </w:tcPr>
          <w:p w14:paraId="7533F400" w14:textId="6BED4ECC" w:rsidR="00601378" w:rsidRPr="00D66B24" w:rsidRDefault="003D68BF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2143" w:type="dxa"/>
            <w:vAlign w:val="bottom"/>
          </w:tcPr>
          <w:p w14:paraId="65249750" w14:textId="1D2E6BD0" w:rsidR="00601378" w:rsidRPr="00D66B24" w:rsidRDefault="003D68BF" w:rsidP="00D66B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</w:tr>
      <w:tr w:rsidR="00601378" w:rsidRPr="00104174" w14:paraId="433775D0" w14:textId="77777777" w:rsidTr="003D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F2A4E8D" w14:textId="5C3D5E17" w:rsidR="00601378" w:rsidRPr="00104174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17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14:paraId="45146CF9" w14:textId="646F2964" w:rsidR="00601378" w:rsidRPr="00D66B24" w:rsidRDefault="004B6CC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2410" w:type="dxa"/>
            <w:vAlign w:val="bottom"/>
          </w:tcPr>
          <w:p w14:paraId="3BA56459" w14:textId="6CB469D0" w:rsidR="00601378" w:rsidRPr="00D66B24" w:rsidRDefault="003D68B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2393" w:type="dxa"/>
            <w:vAlign w:val="bottom"/>
          </w:tcPr>
          <w:p w14:paraId="530786A5" w14:textId="10EBD878" w:rsidR="00601378" w:rsidRPr="00D66B24" w:rsidRDefault="003D68BF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2143" w:type="dxa"/>
            <w:vAlign w:val="bottom"/>
          </w:tcPr>
          <w:p w14:paraId="62C53963" w14:textId="0CC257F4" w:rsidR="00601378" w:rsidRPr="00D66B24" w:rsidRDefault="00601378" w:rsidP="00D66B2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</w:t>
            </w:r>
            <w:r w:rsidR="003D68BF"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uel A</w:t>
            </w: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</w:t>
            </w:r>
            <w:r w:rsidR="003D68BF"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lowance</w:t>
            </w:r>
            <w:r w:rsidRPr="00D66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</w:tbl>
    <w:p w14:paraId="2FD2FED9" w14:textId="77777777" w:rsidR="0043240B" w:rsidRPr="00104174" w:rsidRDefault="0043240B" w:rsidP="00601378">
      <w:pPr>
        <w:tabs>
          <w:tab w:val="left" w:pos="12616"/>
        </w:tabs>
        <w:spacing w:line="240" w:lineRule="auto"/>
        <w:rPr>
          <w:rFonts w:ascii="Calibri" w:hAnsi="Calibri" w:cs="Calibri"/>
          <w:b/>
          <w:bCs/>
          <w:color w:val="FFFFFF" w:themeColor="background1"/>
        </w:rPr>
        <w:sectPr w:rsidR="0043240B" w:rsidRPr="00104174" w:rsidSect="000048C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bookmarkEnd w:id="0"/>
    <w:p w14:paraId="18CEE111" w14:textId="34AADADC" w:rsidR="00457FBB" w:rsidRPr="00104174" w:rsidRDefault="004267EC" w:rsidP="00601378">
      <w:p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lastRenderedPageBreak/>
        <w:t xml:space="preserve">Further detail on the </w:t>
      </w:r>
      <w:r w:rsidRPr="00104174">
        <w:rPr>
          <w:rFonts w:ascii="Calibri" w:hAnsi="Calibri" w:cs="Calibri"/>
          <w:b/>
          <w:u w:val="single"/>
        </w:rPr>
        <w:t xml:space="preserve">top </w:t>
      </w:r>
      <w:r w:rsidR="00A06E28">
        <w:rPr>
          <w:rFonts w:ascii="Calibri" w:hAnsi="Calibri" w:cs="Calibri"/>
          <w:b/>
          <w:u w:val="single"/>
        </w:rPr>
        <w:t>three</w:t>
      </w:r>
      <w:r w:rsidRPr="00104174">
        <w:rPr>
          <w:rFonts w:ascii="Calibri" w:hAnsi="Calibri" w:cs="Calibri"/>
          <w:b/>
          <w:u w:val="single"/>
        </w:rPr>
        <w:t xml:space="preserve"> main categories of queries</w:t>
      </w:r>
      <w:r w:rsidRPr="00104174">
        <w:rPr>
          <w:rFonts w:ascii="Calibri" w:hAnsi="Calibri" w:cs="Calibri"/>
        </w:rPr>
        <w:t xml:space="preserve"> received in </w:t>
      </w:r>
      <w:r w:rsidR="00503356" w:rsidRPr="00104174">
        <w:rPr>
          <w:rFonts w:ascii="Calibri" w:hAnsi="Calibri" w:cs="Calibri"/>
        </w:rPr>
        <w:t>Q2</w:t>
      </w:r>
      <w:r w:rsidR="000B3695" w:rsidRPr="00104174">
        <w:rPr>
          <w:rFonts w:ascii="Calibri" w:hAnsi="Calibri" w:cs="Calibri"/>
        </w:rPr>
        <w:t>,</w:t>
      </w:r>
      <w:r w:rsidR="00503356" w:rsidRPr="00104174">
        <w:rPr>
          <w:rFonts w:ascii="Calibri" w:hAnsi="Calibri" w:cs="Calibri"/>
        </w:rPr>
        <w:t xml:space="preserve"> </w:t>
      </w:r>
      <w:r w:rsidRPr="00104174">
        <w:rPr>
          <w:rFonts w:ascii="Calibri" w:hAnsi="Calibri" w:cs="Calibri"/>
        </w:rPr>
        <w:t>202</w:t>
      </w:r>
      <w:r w:rsidR="005D37E3" w:rsidRPr="00104174">
        <w:rPr>
          <w:rFonts w:ascii="Calibri" w:hAnsi="Calibri" w:cs="Calibri"/>
        </w:rPr>
        <w:t>4</w:t>
      </w:r>
      <w:r w:rsidRPr="00104174">
        <w:rPr>
          <w:rFonts w:ascii="Calibri" w:hAnsi="Calibri" w:cs="Calibri"/>
        </w:rPr>
        <w:t xml:space="preserve"> compared with the </w:t>
      </w:r>
      <w:r w:rsidR="00503356" w:rsidRPr="00104174">
        <w:rPr>
          <w:rFonts w:ascii="Calibri" w:hAnsi="Calibri" w:cs="Calibri"/>
        </w:rPr>
        <w:t>second</w:t>
      </w:r>
      <w:r w:rsidRPr="00104174">
        <w:rPr>
          <w:rFonts w:ascii="Calibri" w:hAnsi="Calibri" w:cs="Calibri"/>
        </w:rPr>
        <w:t xml:space="preserve"> </w:t>
      </w:r>
      <w:r w:rsidR="00503356" w:rsidRPr="00104174">
        <w:rPr>
          <w:rFonts w:ascii="Calibri" w:hAnsi="Calibri" w:cs="Calibri"/>
        </w:rPr>
        <w:t xml:space="preserve">quarter </w:t>
      </w:r>
      <w:r w:rsidRPr="00104174">
        <w:rPr>
          <w:rFonts w:ascii="Calibri" w:hAnsi="Calibri" w:cs="Calibri"/>
        </w:rPr>
        <w:t>of 202</w:t>
      </w:r>
      <w:r w:rsidR="005D37E3" w:rsidRPr="00104174">
        <w:rPr>
          <w:rFonts w:ascii="Calibri" w:hAnsi="Calibri" w:cs="Calibri"/>
        </w:rPr>
        <w:t>3</w:t>
      </w:r>
      <w:r w:rsidRPr="00104174">
        <w:rPr>
          <w:rFonts w:ascii="Calibri" w:hAnsi="Calibri" w:cs="Calibri"/>
        </w:rPr>
        <w:t>, are set out in the narrative and tables below.</w:t>
      </w:r>
    </w:p>
    <w:p w14:paraId="6683A58A" w14:textId="2BD2D123" w:rsidR="006B124F" w:rsidRPr="00513D9F" w:rsidRDefault="006B124F" w:rsidP="00601378">
      <w:pPr>
        <w:tabs>
          <w:tab w:val="left" w:pos="12616"/>
        </w:tabs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</w:pPr>
      <w:r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 xml:space="preserve">Social </w:t>
      </w:r>
      <w:r w:rsidR="002D491C"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 xml:space="preserve">Welfare </w:t>
      </w:r>
      <w:r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>Queries</w:t>
      </w:r>
      <w:r w:rsidR="00F86133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>:</w:t>
      </w:r>
    </w:p>
    <w:p w14:paraId="75CBBD52" w14:textId="4CE49C37" w:rsidR="006B124F" w:rsidRPr="00104174" w:rsidRDefault="006B124F" w:rsidP="006B124F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Social Welfare queries decreased overall by 2.0%</w:t>
      </w:r>
      <w:r w:rsidR="00C10A2C">
        <w:rPr>
          <w:rFonts w:ascii="Calibri" w:hAnsi="Calibri" w:cs="Calibri"/>
        </w:rPr>
        <w:t xml:space="preserve"> (86,772)</w:t>
      </w:r>
      <w:r w:rsidRPr="00104174">
        <w:rPr>
          <w:rFonts w:ascii="Calibri" w:hAnsi="Calibri" w:cs="Calibri"/>
        </w:rPr>
        <w:t>.</w:t>
      </w:r>
      <w:r w:rsidR="00C10A2C">
        <w:rPr>
          <w:rFonts w:ascii="Calibri" w:hAnsi="Calibri" w:cs="Calibri"/>
        </w:rPr>
        <w:br/>
      </w:r>
    </w:p>
    <w:p w14:paraId="605A4861" w14:textId="33D5B51B" w:rsidR="006B124F" w:rsidRPr="00104174" w:rsidRDefault="006B124F" w:rsidP="006B124F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 xml:space="preserve">Disability and Illness </w:t>
      </w:r>
      <w:r w:rsidR="006659D6">
        <w:rPr>
          <w:rFonts w:ascii="Calibri" w:hAnsi="Calibri" w:cs="Calibri"/>
        </w:rPr>
        <w:t xml:space="preserve">queries </w:t>
      </w:r>
      <w:r w:rsidRPr="00104174">
        <w:rPr>
          <w:rFonts w:ascii="Calibri" w:hAnsi="Calibri" w:cs="Calibri"/>
        </w:rPr>
        <w:t>decreased by 3.5%</w:t>
      </w:r>
      <w:r w:rsidR="00C10A2C">
        <w:rPr>
          <w:rFonts w:ascii="Calibri" w:hAnsi="Calibri" w:cs="Calibri"/>
        </w:rPr>
        <w:t xml:space="preserve"> (13,818)</w:t>
      </w:r>
      <w:r w:rsidRPr="00104174">
        <w:rPr>
          <w:rFonts w:ascii="Calibri" w:hAnsi="Calibri" w:cs="Calibri"/>
        </w:rPr>
        <w:t>.</w:t>
      </w:r>
    </w:p>
    <w:p w14:paraId="7863039E" w14:textId="13E8E44E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Disability Allowance queries increased slightly by 1%</w:t>
      </w:r>
      <w:r w:rsidR="000C11CE">
        <w:rPr>
          <w:rFonts w:ascii="Calibri" w:hAnsi="Calibri" w:cs="Calibri"/>
        </w:rPr>
        <w:t xml:space="preserve"> (6,825)</w:t>
      </w:r>
      <w:r w:rsidRPr="00104174">
        <w:rPr>
          <w:rFonts w:ascii="Calibri" w:hAnsi="Calibri" w:cs="Calibri"/>
        </w:rPr>
        <w:t>.</w:t>
      </w:r>
    </w:p>
    <w:p w14:paraId="334DE3A4" w14:textId="5961F892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Illness Benefit queries decreased by 10.6%</w:t>
      </w:r>
      <w:r w:rsidR="00861213">
        <w:rPr>
          <w:rFonts w:ascii="Calibri" w:hAnsi="Calibri" w:cs="Calibri"/>
        </w:rPr>
        <w:t xml:space="preserve"> (3,321)</w:t>
      </w:r>
      <w:r w:rsidRPr="00104174">
        <w:rPr>
          <w:rFonts w:ascii="Calibri" w:hAnsi="Calibri" w:cs="Calibri"/>
        </w:rPr>
        <w:t>.</w:t>
      </w:r>
    </w:p>
    <w:p w14:paraId="04A5E78C" w14:textId="4B1852C1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Invalidity Pension queries decreased by 4.2%</w:t>
      </w:r>
      <w:r w:rsidR="00861213">
        <w:rPr>
          <w:rFonts w:ascii="Calibri" w:hAnsi="Calibri" w:cs="Calibri"/>
        </w:rPr>
        <w:t xml:space="preserve"> (2,720)</w:t>
      </w:r>
      <w:r w:rsidRPr="00104174">
        <w:rPr>
          <w:rFonts w:ascii="Calibri" w:hAnsi="Calibri" w:cs="Calibri"/>
        </w:rPr>
        <w:t>.</w:t>
      </w:r>
      <w:r w:rsidR="001A0FFC" w:rsidRPr="00104174">
        <w:rPr>
          <w:rFonts w:ascii="Calibri" w:hAnsi="Calibri" w:cs="Calibri"/>
        </w:rPr>
        <w:br/>
      </w:r>
    </w:p>
    <w:p w14:paraId="4F9DFCBB" w14:textId="10BF1EAF" w:rsidR="006B124F" w:rsidRPr="0024203C" w:rsidRDefault="006B124F" w:rsidP="006B124F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Older and retired people</w:t>
      </w:r>
      <w:r w:rsidR="00A06E28">
        <w:rPr>
          <w:rFonts w:ascii="Calibri" w:hAnsi="Calibri" w:cs="Calibri"/>
        </w:rPr>
        <w:t xml:space="preserve"> </w:t>
      </w:r>
      <w:r w:rsidR="00102F78">
        <w:rPr>
          <w:rFonts w:ascii="Calibri" w:hAnsi="Calibri" w:cs="Calibri"/>
        </w:rPr>
        <w:t>queries</w:t>
      </w:r>
      <w:r w:rsidR="00102F78" w:rsidRPr="00104174">
        <w:rPr>
          <w:rFonts w:ascii="Calibri" w:hAnsi="Calibri" w:cs="Calibri"/>
        </w:rPr>
        <w:t xml:space="preserve"> </w:t>
      </w:r>
      <w:r w:rsidRPr="00104174">
        <w:rPr>
          <w:rFonts w:ascii="Calibri" w:hAnsi="Calibri" w:cs="Calibri"/>
        </w:rPr>
        <w:t>increased by 3.8%</w:t>
      </w:r>
      <w:r w:rsidR="00861213">
        <w:rPr>
          <w:rFonts w:ascii="Calibri" w:hAnsi="Calibri" w:cs="Calibri"/>
        </w:rPr>
        <w:t xml:space="preserve"> (12,471)</w:t>
      </w:r>
      <w:r w:rsidR="001A0FFC" w:rsidRPr="00104174">
        <w:rPr>
          <w:rFonts w:ascii="Calibri" w:hAnsi="Calibri" w:cs="Calibri"/>
        </w:rPr>
        <w:t>, this increase is likely because a new category was introduced under Older a</w:t>
      </w:r>
      <w:r w:rsidR="00A06E28">
        <w:rPr>
          <w:rFonts w:ascii="Calibri" w:hAnsi="Calibri" w:cs="Calibri"/>
        </w:rPr>
        <w:t>nd</w:t>
      </w:r>
      <w:r w:rsidR="001A0FFC" w:rsidRPr="00104174">
        <w:rPr>
          <w:rFonts w:ascii="Calibri" w:hAnsi="Calibri" w:cs="Calibri"/>
        </w:rPr>
        <w:t xml:space="preserve"> Retired People </w:t>
      </w:r>
      <w:r w:rsidR="001A0FFC" w:rsidRPr="0024203C">
        <w:rPr>
          <w:rFonts w:ascii="Calibri" w:hAnsi="Calibri" w:cs="Calibri"/>
        </w:rPr>
        <w:t>(Homemakers Scheme/ Home</w:t>
      </w:r>
      <w:r w:rsidR="00102F78">
        <w:rPr>
          <w:rFonts w:ascii="Calibri" w:hAnsi="Calibri" w:cs="Calibri"/>
        </w:rPr>
        <w:t xml:space="preserve"> </w:t>
      </w:r>
      <w:r w:rsidR="001A0FFC" w:rsidRPr="0024203C">
        <w:rPr>
          <w:rFonts w:ascii="Calibri" w:hAnsi="Calibri" w:cs="Calibri"/>
        </w:rPr>
        <w:t>Caring Periods Scheme).</w:t>
      </w:r>
      <w:r w:rsidR="0024203C" w:rsidRPr="0024203C">
        <w:rPr>
          <w:rFonts w:ascii="Calibri" w:hAnsi="Calibri" w:cs="Calibri"/>
        </w:rPr>
        <w:t xml:space="preserve"> </w:t>
      </w:r>
    </w:p>
    <w:p w14:paraId="6E16AE2B" w14:textId="117A9248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State Pension Contributory queries increased by 1.5%</w:t>
      </w:r>
      <w:r w:rsidR="000C5016">
        <w:rPr>
          <w:rFonts w:ascii="Calibri" w:hAnsi="Calibri" w:cs="Calibri"/>
        </w:rPr>
        <w:t xml:space="preserve"> (6,960)</w:t>
      </w:r>
      <w:r w:rsidRPr="00104174">
        <w:rPr>
          <w:rFonts w:ascii="Calibri" w:hAnsi="Calibri" w:cs="Calibri"/>
        </w:rPr>
        <w:t>.</w:t>
      </w:r>
    </w:p>
    <w:p w14:paraId="109649AA" w14:textId="2B7AF62A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State Pension/ Non-Contributory queries increased by 1.8%</w:t>
      </w:r>
      <w:r w:rsidR="000C5016">
        <w:rPr>
          <w:rFonts w:ascii="Calibri" w:hAnsi="Calibri" w:cs="Calibri"/>
        </w:rPr>
        <w:t xml:space="preserve"> (2,979)</w:t>
      </w:r>
      <w:r w:rsidRPr="00104174">
        <w:rPr>
          <w:rFonts w:ascii="Calibri" w:hAnsi="Calibri" w:cs="Calibri"/>
        </w:rPr>
        <w:t>.</w:t>
      </w:r>
    </w:p>
    <w:p w14:paraId="7044C1E8" w14:textId="5F96FE9D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Payment for people who retire at 65 queries increased by 5%</w:t>
      </w:r>
      <w:r w:rsidR="000C5016">
        <w:rPr>
          <w:rFonts w:ascii="Calibri" w:hAnsi="Calibri" w:cs="Calibri"/>
        </w:rPr>
        <w:t xml:space="preserve"> (793)</w:t>
      </w:r>
      <w:r w:rsidRPr="00104174">
        <w:rPr>
          <w:rFonts w:ascii="Calibri" w:hAnsi="Calibri" w:cs="Calibri"/>
        </w:rPr>
        <w:t>.</w:t>
      </w:r>
    </w:p>
    <w:p w14:paraId="165682AE" w14:textId="1E672C84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Qualified Adults queries decreased by 25.4%</w:t>
      </w:r>
      <w:r w:rsidR="00D318EC">
        <w:rPr>
          <w:rFonts w:ascii="Calibri" w:hAnsi="Calibri" w:cs="Calibri"/>
        </w:rPr>
        <w:t xml:space="preserve"> (528)</w:t>
      </w:r>
      <w:r w:rsidRPr="00104174">
        <w:rPr>
          <w:rFonts w:ascii="Calibri" w:hAnsi="Calibri" w:cs="Calibri"/>
        </w:rPr>
        <w:t>.</w:t>
      </w:r>
    </w:p>
    <w:p w14:paraId="6742BE21" w14:textId="7DA096F0" w:rsidR="006B124F" w:rsidRPr="00104174" w:rsidRDefault="006B124F" w:rsidP="006B124F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UK Pensions/ Brexit queries decreased by 13.6%</w:t>
      </w:r>
      <w:r w:rsidR="00674DDB">
        <w:rPr>
          <w:rFonts w:ascii="Calibri" w:hAnsi="Calibri" w:cs="Calibri"/>
        </w:rPr>
        <w:t xml:space="preserve"> (489)</w:t>
      </w:r>
      <w:r w:rsidRPr="00104174">
        <w:rPr>
          <w:rFonts w:ascii="Calibri" w:hAnsi="Calibri" w:cs="Calibri"/>
        </w:rPr>
        <w:t>.</w:t>
      </w:r>
      <w:r w:rsidR="001A0FFC" w:rsidRPr="00104174">
        <w:rPr>
          <w:rFonts w:ascii="Calibri" w:hAnsi="Calibri" w:cs="Calibri"/>
        </w:rPr>
        <w:br/>
      </w:r>
    </w:p>
    <w:p w14:paraId="4B0C2D65" w14:textId="76A4A09F" w:rsidR="001A0FFC" w:rsidRPr="00104174" w:rsidRDefault="001A0FFC" w:rsidP="001A0FFC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 xml:space="preserve">Extra Social </w:t>
      </w:r>
      <w:r w:rsidR="006659D6">
        <w:rPr>
          <w:rFonts w:ascii="Calibri" w:hAnsi="Calibri" w:cs="Calibri"/>
        </w:rPr>
        <w:t>W</w:t>
      </w:r>
      <w:r w:rsidRPr="00104174">
        <w:rPr>
          <w:rFonts w:ascii="Calibri" w:hAnsi="Calibri" w:cs="Calibri"/>
        </w:rPr>
        <w:t xml:space="preserve">elfare Benefits schemes </w:t>
      </w:r>
      <w:r w:rsidR="0058229D">
        <w:rPr>
          <w:rFonts w:ascii="Calibri" w:hAnsi="Calibri" w:cs="Calibri"/>
        </w:rPr>
        <w:t xml:space="preserve">queries </w:t>
      </w:r>
      <w:r w:rsidRPr="00104174">
        <w:rPr>
          <w:rFonts w:ascii="Calibri" w:hAnsi="Calibri" w:cs="Calibri"/>
        </w:rPr>
        <w:t>decreased by 9.7%</w:t>
      </w:r>
      <w:r w:rsidR="003A4738">
        <w:rPr>
          <w:rFonts w:ascii="Calibri" w:hAnsi="Calibri" w:cs="Calibri"/>
        </w:rPr>
        <w:t xml:space="preserve"> (11,020)</w:t>
      </w:r>
      <w:r w:rsidRPr="00104174">
        <w:rPr>
          <w:rFonts w:ascii="Calibri" w:hAnsi="Calibri" w:cs="Calibri"/>
        </w:rPr>
        <w:t>.</w:t>
      </w:r>
    </w:p>
    <w:p w14:paraId="4787BEDA" w14:textId="5D7E141F" w:rsidR="001A0FFC" w:rsidRPr="00104174" w:rsidRDefault="001A0FFC" w:rsidP="001A0FFC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 xml:space="preserve">Household Benefits Package queries remained steady </w:t>
      </w:r>
      <w:r w:rsidR="003A4738">
        <w:rPr>
          <w:rFonts w:ascii="Calibri" w:hAnsi="Calibri" w:cs="Calibri"/>
        </w:rPr>
        <w:t>(3,860)</w:t>
      </w:r>
      <w:r w:rsidRPr="00104174">
        <w:rPr>
          <w:rFonts w:ascii="Calibri" w:hAnsi="Calibri" w:cs="Calibri"/>
        </w:rPr>
        <w:t>.</w:t>
      </w:r>
    </w:p>
    <w:p w14:paraId="4F990582" w14:textId="68D612D3" w:rsidR="001A0FFC" w:rsidRPr="00104174" w:rsidRDefault="001A0FFC" w:rsidP="001A0FFC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Fuel Allowance queries decreased by 12.6%</w:t>
      </w:r>
      <w:r w:rsidR="003A4738">
        <w:rPr>
          <w:rFonts w:ascii="Calibri" w:hAnsi="Calibri" w:cs="Calibri"/>
        </w:rPr>
        <w:t xml:space="preserve"> (</w:t>
      </w:r>
      <w:r w:rsidR="00063272">
        <w:rPr>
          <w:rFonts w:ascii="Calibri" w:hAnsi="Calibri" w:cs="Calibri"/>
        </w:rPr>
        <w:t>3,368)</w:t>
      </w:r>
      <w:r w:rsidRPr="00104174">
        <w:rPr>
          <w:rFonts w:ascii="Calibri" w:hAnsi="Calibri" w:cs="Calibri"/>
        </w:rPr>
        <w:t>.</w:t>
      </w:r>
    </w:p>
    <w:p w14:paraId="448772A4" w14:textId="46E2650B" w:rsidR="001A0FFC" w:rsidRPr="00104174" w:rsidRDefault="001A0FFC" w:rsidP="001A0FFC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Free Travel</w:t>
      </w:r>
      <w:r w:rsidR="0058229D">
        <w:rPr>
          <w:rFonts w:ascii="Calibri" w:hAnsi="Calibri" w:cs="Calibri"/>
        </w:rPr>
        <w:t xml:space="preserve"> queries</w:t>
      </w:r>
      <w:r w:rsidRPr="00104174">
        <w:rPr>
          <w:rFonts w:ascii="Calibri" w:hAnsi="Calibri" w:cs="Calibri"/>
        </w:rPr>
        <w:t xml:space="preserve"> (Travel Card, Companion Card, etc.) decreased by 11.1%</w:t>
      </w:r>
      <w:r w:rsidR="00063272">
        <w:rPr>
          <w:rFonts w:ascii="Calibri" w:hAnsi="Calibri" w:cs="Calibri"/>
        </w:rPr>
        <w:t xml:space="preserve"> (1,823)</w:t>
      </w:r>
      <w:r w:rsidRPr="00104174">
        <w:rPr>
          <w:rFonts w:ascii="Calibri" w:hAnsi="Calibri" w:cs="Calibri"/>
        </w:rPr>
        <w:t>.</w:t>
      </w:r>
    </w:p>
    <w:p w14:paraId="542630C3" w14:textId="255A96F7" w:rsidR="001A0FFC" w:rsidRPr="00104174" w:rsidRDefault="006F69E3" w:rsidP="001A0FFC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Living Alone Increase</w:t>
      </w:r>
      <w:r w:rsidR="0058229D">
        <w:rPr>
          <w:rFonts w:ascii="Calibri" w:hAnsi="Calibri" w:cs="Calibri"/>
        </w:rPr>
        <w:t xml:space="preserve"> queries</w:t>
      </w:r>
      <w:r w:rsidRPr="00104174">
        <w:rPr>
          <w:rFonts w:ascii="Calibri" w:hAnsi="Calibri" w:cs="Calibri"/>
        </w:rPr>
        <w:t xml:space="preserve"> decreased by 4.9%</w:t>
      </w:r>
      <w:r w:rsidR="00063272">
        <w:rPr>
          <w:rFonts w:ascii="Calibri" w:hAnsi="Calibri" w:cs="Calibri"/>
        </w:rPr>
        <w:t xml:space="preserve"> (1,539)</w:t>
      </w:r>
      <w:r w:rsidRPr="00104174">
        <w:rPr>
          <w:rFonts w:ascii="Calibri" w:hAnsi="Calibri" w:cs="Calibri"/>
        </w:rPr>
        <w:t>.</w:t>
      </w:r>
      <w:r w:rsidRPr="00104174">
        <w:rPr>
          <w:rFonts w:ascii="Calibri" w:hAnsi="Calibri" w:cs="Calibri"/>
        </w:rPr>
        <w:br/>
      </w:r>
    </w:p>
    <w:p w14:paraId="295618E2" w14:textId="7260EEB8" w:rsidR="006F69E3" w:rsidRPr="008847B8" w:rsidRDefault="006F69E3" w:rsidP="008847B8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Carers queries remained at a similar level to Q2 2023</w:t>
      </w:r>
      <w:r w:rsidR="006C5CE3">
        <w:rPr>
          <w:rFonts w:ascii="Calibri" w:hAnsi="Calibri" w:cs="Calibri"/>
        </w:rPr>
        <w:t xml:space="preserve"> (10,059)</w:t>
      </w:r>
    </w:p>
    <w:p w14:paraId="38E9D99B" w14:textId="6CFAC1D0" w:rsidR="006F69E3" w:rsidRPr="00104174" w:rsidRDefault="006F69E3" w:rsidP="006F69E3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Carer’s Allowance queries decreased by 2.5%</w:t>
      </w:r>
      <w:r w:rsidR="0058606C">
        <w:rPr>
          <w:rFonts w:ascii="Calibri" w:hAnsi="Calibri" w:cs="Calibri"/>
        </w:rPr>
        <w:t xml:space="preserve"> (5,926)</w:t>
      </w:r>
      <w:r w:rsidRPr="00104174">
        <w:rPr>
          <w:rFonts w:ascii="Calibri" w:hAnsi="Calibri" w:cs="Calibri"/>
        </w:rPr>
        <w:t>.</w:t>
      </w:r>
    </w:p>
    <w:p w14:paraId="4AA71762" w14:textId="546D9C14" w:rsidR="006F69E3" w:rsidRPr="00104174" w:rsidRDefault="006F69E3" w:rsidP="006F69E3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Carer’s Suppo</w:t>
      </w:r>
      <w:r w:rsidR="00F63A73" w:rsidRPr="00104174">
        <w:rPr>
          <w:rFonts w:ascii="Calibri" w:hAnsi="Calibri" w:cs="Calibri"/>
        </w:rPr>
        <w:t>rt Grant (Respite Carer Grant)</w:t>
      </w:r>
      <w:r w:rsidR="0058229D">
        <w:rPr>
          <w:rFonts w:ascii="Calibri" w:hAnsi="Calibri" w:cs="Calibri"/>
        </w:rPr>
        <w:t xml:space="preserve"> queries</w:t>
      </w:r>
      <w:r w:rsidR="00F63A73" w:rsidRPr="00104174">
        <w:rPr>
          <w:rFonts w:ascii="Calibri" w:hAnsi="Calibri" w:cs="Calibri"/>
        </w:rPr>
        <w:t xml:space="preserve"> increased by 6.9%</w:t>
      </w:r>
      <w:r w:rsidR="0058606C">
        <w:rPr>
          <w:rFonts w:ascii="Calibri" w:hAnsi="Calibri" w:cs="Calibri"/>
        </w:rPr>
        <w:t xml:space="preserve"> (1,269)</w:t>
      </w:r>
      <w:r w:rsidR="00F63A73" w:rsidRPr="00104174">
        <w:rPr>
          <w:rFonts w:ascii="Calibri" w:hAnsi="Calibri" w:cs="Calibri"/>
        </w:rPr>
        <w:t>.</w:t>
      </w:r>
    </w:p>
    <w:p w14:paraId="55D4F906" w14:textId="79A45D7D" w:rsidR="00F63A73" w:rsidRPr="00104174" w:rsidRDefault="00F63A73" w:rsidP="006F69E3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Domicil</w:t>
      </w:r>
      <w:r w:rsidR="00D9323D" w:rsidRPr="00104174">
        <w:rPr>
          <w:rFonts w:ascii="Calibri" w:hAnsi="Calibri" w:cs="Calibri"/>
        </w:rPr>
        <w:t xml:space="preserve">iary Carers Allowance (DCA) </w:t>
      </w:r>
      <w:r w:rsidR="0058229D">
        <w:rPr>
          <w:rFonts w:ascii="Calibri" w:hAnsi="Calibri" w:cs="Calibri"/>
        </w:rPr>
        <w:t xml:space="preserve">queries </w:t>
      </w:r>
      <w:r w:rsidR="00D9323D" w:rsidRPr="00104174">
        <w:rPr>
          <w:rFonts w:ascii="Calibri" w:hAnsi="Calibri" w:cs="Calibri"/>
        </w:rPr>
        <w:t>decreased by 8.2%</w:t>
      </w:r>
      <w:r w:rsidR="0058606C">
        <w:rPr>
          <w:rFonts w:ascii="Calibri" w:hAnsi="Calibri" w:cs="Calibri"/>
        </w:rPr>
        <w:t xml:space="preserve"> </w:t>
      </w:r>
      <w:r w:rsidR="0006478A">
        <w:rPr>
          <w:rFonts w:ascii="Calibri" w:hAnsi="Calibri" w:cs="Calibri"/>
        </w:rPr>
        <w:t>(1,112)</w:t>
      </w:r>
      <w:r w:rsidR="00D9323D" w:rsidRPr="00104174">
        <w:rPr>
          <w:rFonts w:ascii="Calibri" w:hAnsi="Calibri" w:cs="Calibri"/>
        </w:rPr>
        <w:t>.</w:t>
      </w:r>
    </w:p>
    <w:p w14:paraId="0295B408" w14:textId="341EB73A" w:rsidR="00D9323D" w:rsidRPr="00104174" w:rsidRDefault="00D9323D" w:rsidP="006F69E3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 xml:space="preserve">Carer’s Benefit </w:t>
      </w:r>
      <w:r w:rsidR="0058229D">
        <w:rPr>
          <w:rFonts w:ascii="Calibri" w:hAnsi="Calibri" w:cs="Calibri"/>
        </w:rPr>
        <w:t xml:space="preserve">queries </w:t>
      </w:r>
      <w:r w:rsidRPr="00104174">
        <w:rPr>
          <w:rFonts w:ascii="Calibri" w:hAnsi="Calibri" w:cs="Calibri"/>
        </w:rPr>
        <w:t>increased by 6.4%</w:t>
      </w:r>
      <w:r w:rsidR="0006478A">
        <w:rPr>
          <w:rFonts w:ascii="Calibri" w:hAnsi="Calibri" w:cs="Calibri"/>
        </w:rPr>
        <w:t xml:space="preserve"> (1,099)</w:t>
      </w:r>
      <w:r w:rsidRPr="00104174">
        <w:rPr>
          <w:rFonts w:ascii="Calibri" w:hAnsi="Calibri" w:cs="Calibri"/>
        </w:rPr>
        <w:t>.</w:t>
      </w:r>
    </w:p>
    <w:p w14:paraId="0B13B0ED" w14:textId="2EB0A5F2" w:rsidR="00D9323D" w:rsidRPr="00130FAF" w:rsidRDefault="00D9323D" w:rsidP="006F69E3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30FAF">
        <w:rPr>
          <w:rFonts w:ascii="Calibri" w:hAnsi="Calibri" w:cs="Calibri"/>
        </w:rPr>
        <w:t>Half-rate Carer’s Allowance</w:t>
      </w:r>
      <w:r w:rsidR="0058229D">
        <w:rPr>
          <w:rFonts w:ascii="Calibri" w:hAnsi="Calibri" w:cs="Calibri"/>
        </w:rPr>
        <w:t xml:space="preserve"> queries</w:t>
      </w:r>
      <w:r w:rsidRPr="00130FAF">
        <w:rPr>
          <w:rFonts w:ascii="Calibri" w:hAnsi="Calibri" w:cs="Calibri"/>
        </w:rPr>
        <w:t xml:space="preserve"> increased by 11.1%</w:t>
      </w:r>
      <w:r w:rsidR="0006478A">
        <w:rPr>
          <w:rFonts w:ascii="Calibri" w:hAnsi="Calibri" w:cs="Calibri"/>
        </w:rPr>
        <w:t xml:space="preserve"> (653)</w:t>
      </w:r>
      <w:r w:rsidRPr="00130FAF">
        <w:rPr>
          <w:rFonts w:ascii="Calibri" w:hAnsi="Calibri" w:cs="Calibri"/>
        </w:rPr>
        <w:t>.</w:t>
      </w:r>
      <w:r w:rsidR="0006478A">
        <w:rPr>
          <w:rFonts w:ascii="Calibri" w:hAnsi="Calibri" w:cs="Calibri"/>
        </w:rPr>
        <w:br/>
      </w:r>
    </w:p>
    <w:p w14:paraId="3096DD69" w14:textId="2BF3DA9D" w:rsidR="00D9323D" w:rsidRPr="00104174" w:rsidRDefault="00251A40" w:rsidP="00251A40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Families and Children queries decreased by 4.4%</w:t>
      </w:r>
      <w:r w:rsidR="009E7240">
        <w:rPr>
          <w:rFonts w:ascii="Calibri" w:hAnsi="Calibri" w:cs="Calibri"/>
        </w:rPr>
        <w:t xml:space="preserve"> (9,001)</w:t>
      </w:r>
      <w:r w:rsidRPr="00104174">
        <w:rPr>
          <w:rFonts w:ascii="Calibri" w:hAnsi="Calibri" w:cs="Calibri"/>
        </w:rPr>
        <w:t>.</w:t>
      </w:r>
    </w:p>
    <w:p w14:paraId="30212DDB" w14:textId="4117F616" w:rsidR="00251A40" w:rsidRPr="00104174" w:rsidRDefault="00251A40" w:rsidP="00251A40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Working Famil</w:t>
      </w:r>
      <w:r w:rsidR="00703194" w:rsidRPr="00104174">
        <w:rPr>
          <w:rFonts w:ascii="Calibri" w:hAnsi="Calibri" w:cs="Calibri"/>
        </w:rPr>
        <w:t>y Payment queries increased by 4.4%</w:t>
      </w:r>
      <w:r w:rsidR="009E7240">
        <w:rPr>
          <w:rFonts w:ascii="Calibri" w:hAnsi="Calibri" w:cs="Calibri"/>
        </w:rPr>
        <w:t xml:space="preserve"> (3,083)</w:t>
      </w:r>
      <w:r w:rsidR="00703194" w:rsidRPr="00104174">
        <w:rPr>
          <w:rFonts w:ascii="Calibri" w:hAnsi="Calibri" w:cs="Calibri"/>
        </w:rPr>
        <w:t>.</w:t>
      </w:r>
    </w:p>
    <w:p w14:paraId="517A646C" w14:textId="186032CE" w:rsidR="00703194" w:rsidRPr="00104174" w:rsidRDefault="00703194" w:rsidP="00251A40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 xml:space="preserve">One Parent Family </w:t>
      </w:r>
      <w:r w:rsidR="006737D4">
        <w:rPr>
          <w:rFonts w:ascii="Calibri" w:hAnsi="Calibri" w:cs="Calibri"/>
        </w:rPr>
        <w:t xml:space="preserve">payment </w:t>
      </w:r>
      <w:r w:rsidRPr="00104174">
        <w:rPr>
          <w:rFonts w:ascii="Calibri" w:hAnsi="Calibri" w:cs="Calibri"/>
        </w:rPr>
        <w:t>queries decreased by 7.1%</w:t>
      </w:r>
      <w:r w:rsidR="009E7240">
        <w:rPr>
          <w:rFonts w:ascii="Calibri" w:hAnsi="Calibri" w:cs="Calibri"/>
        </w:rPr>
        <w:t xml:space="preserve"> (1,573)</w:t>
      </w:r>
      <w:r w:rsidRPr="00104174">
        <w:rPr>
          <w:rFonts w:ascii="Calibri" w:hAnsi="Calibri" w:cs="Calibri"/>
        </w:rPr>
        <w:t>.</w:t>
      </w:r>
    </w:p>
    <w:p w14:paraId="3D399986" w14:textId="268D60D3" w:rsidR="00703194" w:rsidRPr="00104174" w:rsidRDefault="00703194" w:rsidP="00251A40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 xml:space="preserve">Child Benefit </w:t>
      </w:r>
      <w:r w:rsidR="006737D4">
        <w:rPr>
          <w:rFonts w:ascii="Calibri" w:hAnsi="Calibri" w:cs="Calibri"/>
        </w:rPr>
        <w:t xml:space="preserve">queries </w:t>
      </w:r>
      <w:r w:rsidRPr="00104174">
        <w:rPr>
          <w:rFonts w:ascii="Calibri" w:hAnsi="Calibri" w:cs="Calibri"/>
        </w:rPr>
        <w:t>increased by 4.9%</w:t>
      </w:r>
      <w:r w:rsidR="009E7240">
        <w:rPr>
          <w:rFonts w:ascii="Calibri" w:hAnsi="Calibri" w:cs="Calibri"/>
        </w:rPr>
        <w:t xml:space="preserve"> (1,481)</w:t>
      </w:r>
      <w:r w:rsidRPr="00104174">
        <w:rPr>
          <w:rFonts w:ascii="Calibri" w:hAnsi="Calibri" w:cs="Calibri"/>
        </w:rPr>
        <w:t>.</w:t>
      </w:r>
    </w:p>
    <w:p w14:paraId="4F26CB4A" w14:textId="112A0D35" w:rsidR="00703194" w:rsidRPr="00104174" w:rsidRDefault="00703194" w:rsidP="00251A40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Back to School Clothing &amp; Footwear Allowance queries decreased by 14.2%</w:t>
      </w:r>
      <w:r w:rsidR="00C21C40">
        <w:rPr>
          <w:rFonts w:ascii="Calibri" w:hAnsi="Calibri" w:cs="Calibri"/>
        </w:rPr>
        <w:t xml:space="preserve"> (824)</w:t>
      </w:r>
      <w:r w:rsidRPr="00104174">
        <w:rPr>
          <w:rFonts w:ascii="Calibri" w:hAnsi="Calibri" w:cs="Calibri"/>
        </w:rPr>
        <w:t>.</w:t>
      </w:r>
      <w:r w:rsidRPr="00104174">
        <w:rPr>
          <w:rFonts w:ascii="Calibri" w:hAnsi="Calibri" w:cs="Calibri"/>
        </w:rPr>
        <w:br/>
      </w:r>
    </w:p>
    <w:p w14:paraId="77024F7B" w14:textId="0F30D14A" w:rsidR="00703194" w:rsidRPr="00104174" w:rsidRDefault="00703194" w:rsidP="00703194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Supplementary Welfare Schemes decreased by 4.3%</w:t>
      </w:r>
      <w:r w:rsidR="00C21C40">
        <w:rPr>
          <w:rFonts w:ascii="Calibri" w:hAnsi="Calibri" w:cs="Calibri"/>
        </w:rPr>
        <w:t xml:space="preserve"> (7,506)</w:t>
      </w:r>
      <w:r w:rsidRPr="00104174">
        <w:rPr>
          <w:rFonts w:ascii="Calibri" w:hAnsi="Calibri" w:cs="Calibri"/>
        </w:rPr>
        <w:t>.</w:t>
      </w:r>
    </w:p>
    <w:p w14:paraId="6F884486" w14:textId="73DBBCE8" w:rsidR="00703194" w:rsidRPr="00104174" w:rsidRDefault="00703194" w:rsidP="00703194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Basic Supplementary Welfare Allowance increased by 6.6%</w:t>
      </w:r>
      <w:r w:rsidR="007D1EFA">
        <w:rPr>
          <w:rFonts w:ascii="Calibri" w:hAnsi="Calibri" w:cs="Calibri"/>
        </w:rPr>
        <w:t xml:space="preserve"> (3,764)</w:t>
      </w:r>
      <w:r w:rsidRPr="00104174">
        <w:rPr>
          <w:rFonts w:ascii="Calibri" w:hAnsi="Calibri" w:cs="Calibri"/>
        </w:rPr>
        <w:t>.</w:t>
      </w:r>
    </w:p>
    <w:p w14:paraId="75C57EC8" w14:textId="4848FE30" w:rsidR="00703194" w:rsidRPr="00104174" w:rsidRDefault="00703194" w:rsidP="00703194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Additional Needs Payment decreased by 11.1%</w:t>
      </w:r>
      <w:r w:rsidR="007D1EFA">
        <w:rPr>
          <w:rFonts w:ascii="Calibri" w:hAnsi="Calibri" w:cs="Calibri"/>
        </w:rPr>
        <w:t xml:space="preserve"> (2,911)</w:t>
      </w:r>
      <w:r w:rsidRPr="00104174">
        <w:rPr>
          <w:rFonts w:ascii="Calibri" w:hAnsi="Calibri" w:cs="Calibri"/>
        </w:rPr>
        <w:t>.</w:t>
      </w:r>
    </w:p>
    <w:p w14:paraId="0298B45A" w14:textId="10F3C2C2" w:rsidR="00E5598D" w:rsidRDefault="00703194" w:rsidP="00703194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Rent Supplement decreased by 20.7%</w:t>
      </w:r>
      <w:r w:rsidR="007D1EFA">
        <w:rPr>
          <w:rFonts w:ascii="Calibri" w:hAnsi="Calibri" w:cs="Calibri"/>
        </w:rPr>
        <w:t xml:space="preserve"> (790)</w:t>
      </w:r>
      <w:r w:rsidRPr="00104174">
        <w:rPr>
          <w:rFonts w:ascii="Calibri" w:hAnsi="Calibri" w:cs="Calibri"/>
        </w:rPr>
        <w:t>.</w:t>
      </w:r>
      <w:r w:rsidR="00D31DB7">
        <w:rPr>
          <w:rFonts w:ascii="Calibri" w:hAnsi="Calibri" w:cs="Calibri"/>
        </w:rPr>
        <w:br/>
      </w:r>
    </w:p>
    <w:p w14:paraId="311C5B19" w14:textId="761DDF0A" w:rsidR="00D31DB7" w:rsidRDefault="00E5598D" w:rsidP="00E5598D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The level of Unemployed People queries remained steady</w:t>
      </w:r>
      <w:r w:rsidR="002D491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increasing slightly by 0.4% (</w:t>
      </w:r>
      <w:r w:rsidR="00D31DB7">
        <w:rPr>
          <w:rFonts w:ascii="Calibri" w:hAnsi="Calibri" w:cs="Calibri"/>
        </w:rPr>
        <w:t>7,294)</w:t>
      </w:r>
    </w:p>
    <w:p w14:paraId="579FA510" w14:textId="77777777" w:rsidR="00633ECC" w:rsidRDefault="00D31DB7" w:rsidP="00D31DB7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Jobseeker’s Allowance queries increased by 3.6% (</w:t>
      </w:r>
      <w:r w:rsidR="00633ECC">
        <w:rPr>
          <w:rFonts w:ascii="Calibri" w:hAnsi="Calibri" w:cs="Calibri"/>
        </w:rPr>
        <w:t>3,984).</w:t>
      </w:r>
    </w:p>
    <w:p w14:paraId="429EEE0A" w14:textId="73027E7D" w:rsidR="00703194" w:rsidRPr="00104174" w:rsidRDefault="00633ECC" w:rsidP="00D31DB7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Jobseeker’s Benefit queries decreased by 7.4% (2,232).</w:t>
      </w:r>
      <w:r w:rsidR="00554377" w:rsidRPr="00104174">
        <w:rPr>
          <w:rFonts w:ascii="Calibri" w:hAnsi="Calibri" w:cs="Calibri"/>
        </w:rPr>
        <w:br/>
      </w:r>
    </w:p>
    <w:p w14:paraId="60991B84" w14:textId="647E84B9" w:rsidR="00703194" w:rsidRPr="00104174" w:rsidRDefault="00554377" w:rsidP="00703194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lastRenderedPageBreak/>
        <w:t>Social Welfare Miscellaneous queries decreased by 12.4%</w:t>
      </w:r>
      <w:r w:rsidR="00583C33">
        <w:rPr>
          <w:rFonts w:ascii="Calibri" w:hAnsi="Calibri" w:cs="Calibri"/>
        </w:rPr>
        <w:t xml:space="preserve"> (</w:t>
      </w:r>
      <w:r w:rsidR="006C5250">
        <w:rPr>
          <w:rFonts w:ascii="Calibri" w:hAnsi="Calibri" w:cs="Calibri"/>
        </w:rPr>
        <w:t>4,462)</w:t>
      </w:r>
      <w:r w:rsidRPr="00104174">
        <w:rPr>
          <w:rFonts w:ascii="Calibri" w:hAnsi="Calibri" w:cs="Calibri"/>
        </w:rPr>
        <w:t>.</w:t>
      </w:r>
    </w:p>
    <w:p w14:paraId="5546E457" w14:textId="77777777" w:rsidR="00DE4E5D" w:rsidRDefault="00554377" w:rsidP="00554377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>Public Services Card queries decreased by 17.3%</w:t>
      </w:r>
      <w:r w:rsidR="006C5250">
        <w:rPr>
          <w:rFonts w:ascii="Calibri" w:hAnsi="Calibri" w:cs="Calibri"/>
        </w:rPr>
        <w:t xml:space="preserve"> (892)</w:t>
      </w:r>
      <w:r w:rsidRPr="00104174">
        <w:rPr>
          <w:rFonts w:ascii="Calibri" w:hAnsi="Calibri" w:cs="Calibri"/>
        </w:rPr>
        <w:t>.</w:t>
      </w:r>
    </w:p>
    <w:p w14:paraId="52C4A08D" w14:textId="4D1E272F" w:rsidR="00554377" w:rsidRPr="00104174" w:rsidRDefault="00DE4E5D" w:rsidP="00554377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Means Test queries remained steady (852).</w:t>
      </w:r>
      <w:r w:rsidR="00554377" w:rsidRPr="00104174">
        <w:rPr>
          <w:rFonts w:ascii="Calibri" w:hAnsi="Calibri" w:cs="Calibri"/>
        </w:rPr>
        <w:br/>
      </w:r>
    </w:p>
    <w:p w14:paraId="589887C3" w14:textId="08B9565A" w:rsidR="00554377" w:rsidRPr="00104174" w:rsidRDefault="00554377" w:rsidP="00554377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104174">
        <w:rPr>
          <w:rFonts w:ascii="Calibri" w:hAnsi="Calibri" w:cs="Calibri"/>
        </w:rPr>
        <w:t xml:space="preserve">Death Related Benefits </w:t>
      </w:r>
      <w:r w:rsidR="002D491C">
        <w:rPr>
          <w:rFonts w:ascii="Calibri" w:hAnsi="Calibri" w:cs="Calibri"/>
        </w:rPr>
        <w:t xml:space="preserve">queries </w:t>
      </w:r>
      <w:r w:rsidRPr="00104174">
        <w:rPr>
          <w:rFonts w:ascii="Calibri" w:hAnsi="Calibri" w:cs="Calibri"/>
        </w:rPr>
        <w:t>increased by 24%</w:t>
      </w:r>
      <w:r w:rsidR="009878B6">
        <w:rPr>
          <w:rFonts w:ascii="Calibri" w:hAnsi="Calibri" w:cs="Calibri"/>
        </w:rPr>
        <w:t xml:space="preserve"> (1,404)</w:t>
      </w:r>
      <w:r w:rsidRPr="00104174">
        <w:rPr>
          <w:rFonts w:ascii="Calibri" w:hAnsi="Calibri" w:cs="Calibri"/>
        </w:rPr>
        <w:t>.</w:t>
      </w:r>
    </w:p>
    <w:p w14:paraId="66FC1675" w14:textId="709ECFF8" w:rsidR="00554377" w:rsidRDefault="009E5E58" w:rsidP="00554377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Widow’s, Widower’s or Surviving Civil Partner’s (Contributory) Pension increased by 13.1%</w:t>
      </w:r>
      <w:r w:rsidR="00054B82">
        <w:rPr>
          <w:rFonts w:ascii="Calibri" w:hAnsi="Calibri" w:cs="Calibri"/>
        </w:rPr>
        <w:t xml:space="preserve"> (829)</w:t>
      </w:r>
      <w:r>
        <w:rPr>
          <w:rFonts w:ascii="Calibri" w:hAnsi="Calibri" w:cs="Calibri"/>
        </w:rPr>
        <w:t>.</w:t>
      </w:r>
    </w:p>
    <w:p w14:paraId="5A5F9B82" w14:textId="0C46842A" w:rsidR="009E5E58" w:rsidRDefault="009E5E58" w:rsidP="00554377">
      <w:pPr>
        <w:pStyle w:val="ListParagraph"/>
        <w:numPr>
          <w:ilvl w:val="1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Widow’s, Widower’s or Surviving Civil Partner’s (Non-Contributory) Pension increased by 78.3%</w:t>
      </w:r>
      <w:r w:rsidR="00054B82">
        <w:rPr>
          <w:rFonts w:ascii="Calibri" w:hAnsi="Calibri" w:cs="Calibri"/>
        </w:rPr>
        <w:t xml:space="preserve"> (</w:t>
      </w:r>
      <w:r w:rsidR="00614F5F">
        <w:rPr>
          <w:rFonts w:ascii="Calibri" w:hAnsi="Calibri" w:cs="Calibri"/>
        </w:rPr>
        <w:t>214)</w:t>
      </w:r>
      <w:r>
        <w:rPr>
          <w:rFonts w:ascii="Calibri" w:hAnsi="Calibri" w:cs="Calibri"/>
        </w:rPr>
        <w:t>.</w:t>
      </w:r>
      <w:r w:rsidR="00614F5F">
        <w:rPr>
          <w:rFonts w:ascii="Calibri" w:hAnsi="Calibri" w:cs="Calibri"/>
        </w:rPr>
        <w:br/>
      </w:r>
    </w:p>
    <w:p w14:paraId="564449BE" w14:textId="5EB0B6A0" w:rsidR="00614F5F" w:rsidRDefault="00614F5F" w:rsidP="00614F5F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Benefits Check queries increased by 22.5% (</w:t>
      </w:r>
      <w:r w:rsidR="00E7099A">
        <w:rPr>
          <w:rFonts w:ascii="Calibri" w:hAnsi="Calibri" w:cs="Calibri"/>
        </w:rPr>
        <w:t>1,104)</w:t>
      </w:r>
      <w:r w:rsidR="00295C6D">
        <w:rPr>
          <w:rFonts w:ascii="Calibri" w:hAnsi="Calibri" w:cs="Calibri"/>
        </w:rPr>
        <w:t>.</w:t>
      </w:r>
    </w:p>
    <w:p w14:paraId="697F67C2" w14:textId="3C5B07C5" w:rsidR="003E211A" w:rsidRPr="003E211A" w:rsidRDefault="003E211A" w:rsidP="003E211A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>Payments and Work queries increased by 27.7% (</w:t>
      </w:r>
      <w:r w:rsidR="00295C6D">
        <w:rPr>
          <w:rFonts w:ascii="Calibri" w:hAnsi="Calibri" w:cs="Calibri"/>
        </w:rPr>
        <w:t>886).</w:t>
      </w:r>
    </w:p>
    <w:p w14:paraId="5AD543FA" w14:textId="77777777" w:rsidR="00E7099A" w:rsidRPr="003E211A" w:rsidRDefault="00E7099A" w:rsidP="003E211A">
      <w:pPr>
        <w:tabs>
          <w:tab w:val="left" w:pos="12616"/>
        </w:tabs>
        <w:ind w:left="720"/>
        <w:rPr>
          <w:rFonts w:ascii="Calibri" w:hAnsi="Calibri" w:cs="Calibri"/>
        </w:rPr>
      </w:pPr>
    </w:p>
    <w:p w14:paraId="48EB7F61" w14:textId="4345F512" w:rsidR="009E5E58" w:rsidRPr="00513D9F" w:rsidRDefault="00F86133" w:rsidP="00513D9F">
      <w:pPr>
        <w:spacing w:after="0" w:line="240" w:lineRule="auto"/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</w:pPr>
      <w:r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 xml:space="preserve">Caller profile data relating to </w:t>
      </w:r>
      <w:r w:rsid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 xml:space="preserve">Social </w:t>
      </w:r>
      <w:r w:rsidR="009E5E58"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>Welfare</w:t>
      </w:r>
      <w:r w:rsid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>:</w:t>
      </w:r>
    </w:p>
    <w:p w14:paraId="47E93930" w14:textId="0272C87C" w:rsidR="009E5E58" w:rsidRDefault="009F5003" w:rsidP="009F5003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 w:rsidRPr="009F5003">
        <w:rPr>
          <w:rFonts w:ascii="Calibri" w:hAnsi="Calibri" w:cs="Calibri"/>
        </w:rPr>
        <w:t xml:space="preserve">44.1% of </w:t>
      </w:r>
      <w:r>
        <w:rPr>
          <w:rFonts w:ascii="Calibri" w:hAnsi="Calibri" w:cs="Calibri"/>
        </w:rPr>
        <w:t xml:space="preserve">those </w:t>
      </w:r>
      <w:r w:rsidR="002D491C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Social </w:t>
      </w:r>
      <w:r w:rsidR="002D491C">
        <w:rPr>
          <w:rFonts w:ascii="Calibri" w:hAnsi="Calibri" w:cs="Calibri"/>
        </w:rPr>
        <w:t xml:space="preserve">Welfare queries </w:t>
      </w:r>
      <w:r>
        <w:rPr>
          <w:rFonts w:ascii="Calibri" w:hAnsi="Calibri" w:cs="Calibri"/>
        </w:rPr>
        <w:t xml:space="preserve">were </w:t>
      </w:r>
      <w:r w:rsidR="002D491C">
        <w:rPr>
          <w:rFonts w:ascii="Calibri" w:hAnsi="Calibri" w:cs="Calibri"/>
        </w:rPr>
        <w:t xml:space="preserve">aged </w:t>
      </w:r>
      <w:r>
        <w:rPr>
          <w:rFonts w:ascii="Calibri" w:hAnsi="Calibri" w:cs="Calibri"/>
        </w:rPr>
        <w:t>46-65. Followed by</w:t>
      </w:r>
      <w:r w:rsidR="002D491C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26-45 age group</w:t>
      </w:r>
      <w:r w:rsidR="002D491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which accounted for 35.3%.</w:t>
      </w:r>
    </w:p>
    <w:p w14:paraId="41B03AFE" w14:textId="0881F9D1" w:rsidR="009F5003" w:rsidRDefault="009F5003" w:rsidP="009F5003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56.2% of those </w:t>
      </w:r>
      <w:r w:rsidR="002D491C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Disability and Illness</w:t>
      </w:r>
      <w:r w:rsidR="002D491C">
        <w:rPr>
          <w:rFonts w:ascii="Calibri" w:hAnsi="Calibri" w:cs="Calibri"/>
        </w:rPr>
        <w:t xml:space="preserve"> queries</w:t>
      </w:r>
      <w:r>
        <w:rPr>
          <w:rFonts w:ascii="Calibri" w:hAnsi="Calibri" w:cs="Calibri"/>
        </w:rPr>
        <w:t xml:space="preserve"> were</w:t>
      </w:r>
      <w:r w:rsidR="002D491C">
        <w:rPr>
          <w:rFonts w:ascii="Calibri" w:hAnsi="Calibri" w:cs="Calibri"/>
        </w:rPr>
        <w:t xml:space="preserve"> aged</w:t>
      </w:r>
      <w:r>
        <w:rPr>
          <w:rFonts w:ascii="Calibri" w:hAnsi="Calibri" w:cs="Calibri"/>
        </w:rPr>
        <w:t xml:space="preserve"> 46-65.</w:t>
      </w:r>
    </w:p>
    <w:p w14:paraId="123A6F78" w14:textId="6E82B585" w:rsidR="009F5003" w:rsidRDefault="009F5003" w:rsidP="009F5003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60.3% of those </w:t>
      </w:r>
      <w:r w:rsidR="002D491C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Older and Retired </w:t>
      </w:r>
      <w:r w:rsidR="002D491C">
        <w:rPr>
          <w:rFonts w:ascii="Calibri" w:hAnsi="Calibri" w:cs="Calibri"/>
        </w:rPr>
        <w:t xml:space="preserve">People queries </w:t>
      </w:r>
      <w:r>
        <w:rPr>
          <w:rFonts w:ascii="Calibri" w:hAnsi="Calibri" w:cs="Calibri"/>
        </w:rPr>
        <w:t>were</w:t>
      </w:r>
      <w:r w:rsidR="002D491C">
        <w:rPr>
          <w:rFonts w:ascii="Calibri" w:hAnsi="Calibri" w:cs="Calibri"/>
        </w:rPr>
        <w:t xml:space="preserve"> aged</w:t>
      </w:r>
      <w:r>
        <w:rPr>
          <w:rFonts w:ascii="Calibri" w:hAnsi="Calibri" w:cs="Calibri"/>
        </w:rPr>
        <w:t xml:space="preserve"> 46-65, followed by 35.2% from the 66 and Over group.</w:t>
      </w:r>
    </w:p>
    <w:p w14:paraId="52F5DF98" w14:textId="7710431E" w:rsidR="009F5003" w:rsidRDefault="009F5003" w:rsidP="009F5003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45.1% of </w:t>
      </w:r>
      <w:r w:rsidR="002D491C">
        <w:rPr>
          <w:rFonts w:ascii="Calibri" w:hAnsi="Calibri" w:cs="Calibri"/>
        </w:rPr>
        <w:t>those with</w:t>
      </w:r>
      <w:r>
        <w:rPr>
          <w:rFonts w:ascii="Calibri" w:hAnsi="Calibri" w:cs="Calibri"/>
        </w:rPr>
        <w:t xml:space="preserve"> Extra Social Welfare Benefits </w:t>
      </w:r>
      <w:r w:rsidR="002D491C">
        <w:rPr>
          <w:rFonts w:ascii="Calibri" w:hAnsi="Calibri" w:cs="Calibri"/>
        </w:rPr>
        <w:t>queries were aged</w:t>
      </w:r>
      <w:r>
        <w:rPr>
          <w:rFonts w:ascii="Calibri" w:hAnsi="Calibri" w:cs="Calibri"/>
        </w:rPr>
        <w:t xml:space="preserve"> 66 and over age, </w:t>
      </w:r>
      <w:r w:rsidR="002D491C">
        <w:rPr>
          <w:rFonts w:ascii="Calibri" w:hAnsi="Calibri" w:cs="Calibri"/>
        </w:rPr>
        <w:t xml:space="preserve">followed by </w:t>
      </w:r>
      <w:r>
        <w:rPr>
          <w:rFonts w:ascii="Calibri" w:hAnsi="Calibri" w:cs="Calibri"/>
        </w:rPr>
        <w:t xml:space="preserve">40.3% </w:t>
      </w:r>
      <w:r w:rsidR="002D491C">
        <w:rPr>
          <w:rFonts w:ascii="Calibri" w:hAnsi="Calibri" w:cs="Calibri"/>
        </w:rPr>
        <w:t>aged</w:t>
      </w:r>
      <w:r>
        <w:rPr>
          <w:rFonts w:ascii="Calibri" w:hAnsi="Calibri" w:cs="Calibri"/>
        </w:rPr>
        <w:t xml:space="preserve"> 46-65.</w:t>
      </w:r>
    </w:p>
    <w:p w14:paraId="6F07B7B8" w14:textId="011770ED" w:rsidR="009F5003" w:rsidRDefault="009F5003" w:rsidP="009F5003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45.2% of </w:t>
      </w:r>
      <w:r w:rsidR="002D491C">
        <w:rPr>
          <w:rFonts w:ascii="Calibri" w:hAnsi="Calibri" w:cs="Calibri"/>
        </w:rPr>
        <w:t>those with</w:t>
      </w:r>
      <w:r>
        <w:rPr>
          <w:rFonts w:ascii="Calibri" w:hAnsi="Calibri" w:cs="Calibri"/>
        </w:rPr>
        <w:t xml:space="preserve"> Carers </w:t>
      </w:r>
      <w:r w:rsidR="002D491C">
        <w:rPr>
          <w:rFonts w:ascii="Calibri" w:hAnsi="Calibri" w:cs="Calibri"/>
        </w:rPr>
        <w:t xml:space="preserve">queries were aged </w:t>
      </w:r>
      <w:r>
        <w:rPr>
          <w:rFonts w:ascii="Calibri" w:hAnsi="Calibri" w:cs="Calibri"/>
        </w:rPr>
        <w:t xml:space="preserve">46-65, followed by </w:t>
      </w:r>
      <w:r w:rsidR="002D491C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26-45 </w:t>
      </w:r>
      <w:r w:rsidR="002D491C">
        <w:rPr>
          <w:rFonts w:ascii="Calibri" w:hAnsi="Calibri" w:cs="Calibri"/>
        </w:rPr>
        <w:t xml:space="preserve">age group, </w:t>
      </w:r>
      <w:r>
        <w:rPr>
          <w:rFonts w:ascii="Calibri" w:hAnsi="Calibri" w:cs="Calibri"/>
        </w:rPr>
        <w:t>which made up 38.6%.</w:t>
      </w:r>
    </w:p>
    <w:p w14:paraId="39DF9AE9" w14:textId="482DBB34" w:rsidR="009F5003" w:rsidRPr="009F5003" w:rsidRDefault="003A37CD" w:rsidP="009F5003">
      <w:pPr>
        <w:pStyle w:val="ListParagraph"/>
        <w:numPr>
          <w:ilvl w:val="0"/>
          <w:numId w:val="12"/>
        </w:numPr>
        <w:tabs>
          <w:tab w:val="left" w:pos="1261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70.9% of </w:t>
      </w:r>
      <w:r w:rsidR="002D491C">
        <w:rPr>
          <w:rFonts w:ascii="Calibri" w:hAnsi="Calibri" w:cs="Calibri"/>
        </w:rPr>
        <w:t>those with</w:t>
      </w:r>
      <w:r>
        <w:rPr>
          <w:rFonts w:ascii="Calibri" w:hAnsi="Calibri" w:cs="Calibri"/>
        </w:rPr>
        <w:t xml:space="preserve"> Families and Children </w:t>
      </w:r>
      <w:r w:rsidR="002D491C">
        <w:rPr>
          <w:rFonts w:ascii="Calibri" w:hAnsi="Calibri" w:cs="Calibri"/>
        </w:rPr>
        <w:t xml:space="preserve">queries were aged </w:t>
      </w:r>
      <w:r>
        <w:rPr>
          <w:rFonts w:ascii="Calibri" w:hAnsi="Calibri" w:cs="Calibri"/>
        </w:rPr>
        <w:t>26-45.</w:t>
      </w:r>
    </w:p>
    <w:p w14:paraId="74E3965B" w14:textId="77777777" w:rsidR="00ED043A" w:rsidRDefault="00ED043A" w:rsidP="00EB1860">
      <w:pPr>
        <w:spacing w:line="240" w:lineRule="auto"/>
        <w:ind w:left="360"/>
        <w:rPr>
          <w:b/>
          <w:sz w:val="24"/>
          <w:szCs w:val="24"/>
        </w:rPr>
        <w:sectPr w:rsidR="00ED043A" w:rsidSect="00ED043A">
          <w:pgSz w:w="11906" w:h="16838"/>
          <w:pgMar w:top="1440" w:right="992" w:bottom="1440" w:left="425" w:header="709" w:footer="709" w:gutter="0"/>
          <w:cols w:space="708"/>
          <w:docGrid w:linePitch="360"/>
        </w:sectPr>
      </w:pPr>
    </w:p>
    <w:p w14:paraId="0C1C76A6" w14:textId="6FE5F160" w:rsidR="00C668A1" w:rsidRPr="00F2155D" w:rsidRDefault="00ED043A" w:rsidP="00F2155D">
      <w:pPr>
        <w:pStyle w:val="Heading3"/>
        <w:rPr>
          <w:sz w:val="28"/>
          <w:szCs w:val="28"/>
        </w:rPr>
      </w:pPr>
      <w:r w:rsidRPr="00F2155D">
        <w:rPr>
          <w:sz w:val="28"/>
          <w:szCs w:val="28"/>
        </w:rPr>
        <w:lastRenderedPageBreak/>
        <w:t>Ta</w:t>
      </w:r>
      <w:r w:rsidR="00B60276" w:rsidRPr="00F2155D">
        <w:rPr>
          <w:sz w:val="28"/>
          <w:szCs w:val="28"/>
        </w:rPr>
        <w:t xml:space="preserve">ble </w:t>
      </w:r>
      <w:r w:rsidR="006659D6">
        <w:rPr>
          <w:sz w:val="28"/>
          <w:szCs w:val="28"/>
        </w:rPr>
        <w:t>11</w:t>
      </w:r>
      <w:r w:rsidR="00B60276" w:rsidRPr="00F2155D">
        <w:rPr>
          <w:sz w:val="28"/>
          <w:szCs w:val="28"/>
        </w:rPr>
        <w:t xml:space="preserve"> – Social Welfare Query Breakdown</w:t>
      </w:r>
    </w:p>
    <w:tbl>
      <w:tblPr>
        <w:tblStyle w:val="GridTable5Dark-Accent6"/>
        <w:tblW w:w="5000" w:type="pct"/>
        <w:tblLook w:val="04A0" w:firstRow="1" w:lastRow="0" w:firstColumn="1" w:lastColumn="0" w:noHBand="0" w:noVBand="1"/>
      </w:tblPr>
      <w:tblGrid>
        <w:gridCol w:w="9079"/>
        <w:gridCol w:w="2769"/>
        <w:gridCol w:w="2100"/>
      </w:tblGrid>
      <w:tr w:rsidR="00C535E5" w:rsidRPr="00104174" w14:paraId="21FBB9F2" w14:textId="77777777" w:rsidTr="00665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hideMark/>
          </w:tcPr>
          <w:p w14:paraId="7A232B82" w14:textId="42ABF883" w:rsidR="00C535E5" w:rsidRPr="00104174" w:rsidRDefault="0096399D" w:rsidP="0096399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Social Welfare </w:t>
            </w:r>
            <w:r w:rsidR="00C535E5" w:rsidRPr="001041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Sub-category Breakdown</w:t>
            </w:r>
          </w:p>
        </w:tc>
        <w:tc>
          <w:tcPr>
            <w:tcW w:w="993" w:type="pct"/>
            <w:hideMark/>
          </w:tcPr>
          <w:p w14:paraId="32491735" w14:textId="77777777" w:rsidR="00C535E5" w:rsidRPr="00104174" w:rsidRDefault="00C535E5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752" w:type="pct"/>
            <w:hideMark/>
          </w:tcPr>
          <w:p w14:paraId="390C2532" w14:textId="77777777" w:rsidR="00C535E5" w:rsidRPr="00104174" w:rsidRDefault="00C535E5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% of Social Welfare Sub-category</w:t>
            </w:r>
          </w:p>
        </w:tc>
      </w:tr>
      <w:tr w:rsidR="00B81257" w:rsidRPr="00104174" w14:paraId="2783B93C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46BBA3B2" w14:textId="747437B1" w:rsidR="00B81257" w:rsidRPr="00313877" w:rsidRDefault="00B81257" w:rsidP="0035508C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Disability &amp; Illness</w:t>
            </w:r>
            <w:r w:rsidR="00313877"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ab/>
            </w:r>
            <w:r w:rsidR="0035508C"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</w:t>
            </w:r>
            <w:r w:rsidR="00313877" w:rsidRPr="00355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15.9%</w:t>
            </w:r>
          </w:p>
        </w:tc>
      </w:tr>
      <w:tr w:rsidR="00C535E5" w:rsidRPr="00104174" w14:paraId="1E6598B1" w14:textId="77777777" w:rsidTr="006659D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42753EBC" w14:textId="510151D1" w:rsidR="00C535E5" w:rsidRPr="00104174" w:rsidRDefault="00C535E5" w:rsidP="004A28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993" w:type="pct"/>
            <w:noWrap/>
            <w:hideMark/>
          </w:tcPr>
          <w:p w14:paraId="26F49A4D" w14:textId="2DBB71F7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6,825</w:t>
            </w:r>
          </w:p>
        </w:tc>
        <w:tc>
          <w:tcPr>
            <w:tcW w:w="752" w:type="pct"/>
            <w:noWrap/>
            <w:hideMark/>
          </w:tcPr>
          <w:p w14:paraId="10D033F3" w14:textId="09606F26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49.4%</w:t>
            </w:r>
          </w:p>
        </w:tc>
      </w:tr>
      <w:tr w:rsidR="00C535E5" w:rsidRPr="00104174" w14:paraId="35D5163A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1AF4CABA" w14:textId="077410F6" w:rsidR="00C535E5" w:rsidRPr="00104174" w:rsidRDefault="00C535E5" w:rsidP="004A28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993" w:type="pct"/>
            <w:noWrap/>
            <w:hideMark/>
          </w:tcPr>
          <w:p w14:paraId="3C1204DB" w14:textId="25D889AE" w:rsidR="00C535E5" w:rsidRPr="00104174" w:rsidRDefault="00C535E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3,321</w:t>
            </w:r>
          </w:p>
        </w:tc>
        <w:tc>
          <w:tcPr>
            <w:tcW w:w="752" w:type="pct"/>
            <w:noWrap/>
            <w:hideMark/>
          </w:tcPr>
          <w:p w14:paraId="1A5123BF" w14:textId="48A6AB06" w:rsidR="00C535E5" w:rsidRPr="00104174" w:rsidRDefault="00C535E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24.0%</w:t>
            </w:r>
          </w:p>
        </w:tc>
      </w:tr>
      <w:tr w:rsidR="00C535E5" w:rsidRPr="00104174" w14:paraId="15D56864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7061C65F" w14:textId="7B1DF0DE" w:rsidR="00C535E5" w:rsidRPr="00104174" w:rsidRDefault="00C535E5" w:rsidP="004A28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993" w:type="pct"/>
            <w:noWrap/>
            <w:hideMark/>
          </w:tcPr>
          <w:p w14:paraId="72041701" w14:textId="1A4EC154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2,720</w:t>
            </w:r>
          </w:p>
        </w:tc>
        <w:tc>
          <w:tcPr>
            <w:tcW w:w="752" w:type="pct"/>
            <w:noWrap/>
            <w:hideMark/>
          </w:tcPr>
          <w:p w14:paraId="21F3822B" w14:textId="7EC778BC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19.7%</w:t>
            </w:r>
          </w:p>
        </w:tc>
      </w:tr>
      <w:tr w:rsidR="00C535E5" w:rsidRPr="00104174" w14:paraId="1CF7B4D8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1C35783C" w14:textId="39B9B55F" w:rsidR="00C535E5" w:rsidRPr="00104174" w:rsidRDefault="00C535E5" w:rsidP="004A28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Partial Capacity Benefit</w:t>
            </w:r>
          </w:p>
        </w:tc>
        <w:tc>
          <w:tcPr>
            <w:tcW w:w="993" w:type="pct"/>
            <w:noWrap/>
            <w:hideMark/>
          </w:tcPr>
          <w:p w14:paraId="4A5252DD" w14:textId="3BAEEAD7" w:rsidR="00C535E5" w:rsidRPr="00104174" w:rsidRDefault="00C535E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505</w:t>
            </w:r>
          </w:p>
        </w:tc>
        <w:tc>
          <w:tcPr>
            <w:tcW w:w="752" w:type="pct"/>
            <w:noWrap/>
            <w:hideMark/>
          </w:tcPr>
          <w:p w14:paraId="5341C38C" w14:textId="4005BE66" w:rsidR="00C535E5" w:rsidRPr="00104174" w:rsidRDefault="00C535E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3.7%</w:t>
            </w:r>
          </w:p>
        </w:tc>
      </w:tr>
      <w:tr w:rsidR="00C535E5" w:rsidRPr="00104174" w14:paraId="3B66CF92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600EA6D5" w14:textId="3C1F61BE" w:rsidR="00C535E5" w:rsidRPr="00104174" w:rsidRDefault="00C535E5" w:rsidP="004A28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Injury Benefit</w:t>
            </w:r>
          </w:p>
        </w:tc>
        <w:tc>
          <w:tcPr>
            <w:tcW w:w="993" w:type="pct"/>
            <w:noWrap/>
            <w:hideMark/>
          </w:tcPr>
          <w:p w14:paraId="2D2323DA" w14:textId="15C20956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190</w:t>
            </w:r>
          </w:p>
        </w:tc>
        <w:tc>
          <w:tcPr>
            <w:tcW w:w="752" w:type="pct"/>
            <w:noWrap/>
            <w:hideMark/>
          </w:tcPr>
          <w:p w14:paraId="3823404E" w14:textId="53804EA6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1.4%</w:t>
            </w:r>
          </w:p>
        </w:tc>
      </w:tr>
      <w:tr w:rsidR="00C535E5" w:rsidRPr="00104174" w14:paraId="3EBDFCD8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17ADA47" w14:textId="3A4DD518" w:rsidR="00C535E5" w:rsidRPr="00104174" w:rsidRDefault="00C535E5" w:rsidP="006D6BBA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Occupational Injuries Benefit Scheme</w:t>
            </w:r>
          </w:p>
        </w:tc>
        <w:tc>
          <w:tcPr>
            <w:tcW w:w="993" w:type="pct"/>
            <w:noWrap/>
          </w:tcPr>
          <w:p w14:paraId="01149C9B" w14:textId="55BE9ADC" w:rsidR="00C535E5" w:rsidRPr="00104174" w:rsidRDefault="00C535E5" w:rsidP="006D6BB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152</w:t>
            </w:r>
          </w:p>
        </w:tc>
        <w:tc>
          <w:tcPr>
            <w:tcW w:w="752" w:type="pct"/>
            <w:noWrap/>
          </w:tcPr>
          <w:p w14:paraId="0EC88C60" w14:textId="3C0AB506" w:rsidR="00C535E5" w:rsidRPr="00104174" w:rsidRDefault="00C535E5" w:rsidP="006D6BB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1.1%</w:t>
            </w:r>
          </w:p>
        </w:tc>
      </w:tr>
      <w:tr w:rsidR="00C535E5" w:rsidRPr="00104174" w14:paraId="3A159AF9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4D5F47D" w14:textId="0FFEF355" w:rsidR="00C535E5" w:rsidRPr="00104174" w:rsidRDefault="00C535E5" w:rsidP="004A28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 Payment (Blind Pension/Other)</w:t>
            </w:r>
          </w:p>
        </w:tc>
        <w:tc>
          <w:tcPr>
            <w:tcW w:w="993" w:type="pct"/>
            <w:noWrap/>
          </w:tcPr>
          <w:p w14:paraId="7F114D54" w14:textId="4A83635A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105</w:t>
            </w:r>
          </w:p>
        </w:tc>
        <w:tc>
          <w:tcPr>
            <w:tcW w:w="752" w:type="pct"/>
            <w:noWrap/>
          </w:tcPr>
          <w:p w14:paraId="55D07B43" w14:textId="50591C18" w:rsidR="00C535E5" w:rsidRPr="00104174" w:rsidRDefault="00C535E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0.8%</w:t>
            </w:r>
          </w:p>
        </w:tc>
      </w:tr>
      <w:tr w:rsidR="00C535E5" w:rsidRPr="00104174" w14:paraId="0F207C85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1081C121" w14:textId="3B2AE803" w:rsidR="00C535E5" w:rsidRPr="00EA7B99" w:rsidRDefault="00C535E5" w:rsidP="004A28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  <w:hideMark/>
          </w:tcPr>
          <w:p w14:paraId="5CDACB3B" w14:textId="2A61F010" w:rsidR="00C535E5" w:rsidRPr="00104174" w:rsidRDefault="00C535E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13,818</w:t>
            </w:r>
          </w:p>
        </w:tc>
        <w:tc>
          <w:tcPr>
            <w:tcW w:w="752" w:type="pct"/>
            <w:noWrap/>
            <w:hideMark/>
          </w:tcPr>
          <w:p w14:paraId="50B371C5" w14:textId="3A8E5E58" w:rsidR="00C535E5" w:rsidRPr="00104174" w:rsidRDefault="00C535E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13877" w:rsidRPr="00104174" w14:paraId="4FA2A5C7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76DE77B1" w14:textId="4255A578" w:rsidR="00313877" w:rsidRPr="00313877" w:rsidRDefault="00313877" w:rsidP="0035508C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Older and Retired People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ab/>
            </w:r>
            <w:r w:rsidR="00355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</w:t>
            </w:r>
            <w:r w:rsidR="00355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 w:rsidRPr="00355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14.4%</w:t>
            </w:r>
          </w:p>
        </w:tc>
      </w:tr>
      <w:tr w:rsidR="00C535E5" w:rsidRPr="00104174" w14:paraId="5FD7CE94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5404D50" w14:textId="7DF554CA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993" w:type="pct"/>
            <w:noWrap/>
          </w:tcPr>
          <w:p w14:paraId="0EE2A113" w14:textId="2E29251A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6,960</w:t>
            </w:r>
          </w:p>
        </w:tc>
        <w:tc>
          <w:tcPr>
            <w:tcW w:w="752" w:type="pct"/>
            <w:noWrap/>
          </w:tcPr>
          <w:p w14:paraId="274A136C" w14:textId="02963ADE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55.8%</w:t>
            </w:r>
          </w:p>
        </w:tc>
      </w:tr>
      <w:tr w:rsidR="00C535E5" w:rsidRPr="00104174" w14:paraId="050E94DD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BAE5E39" w14:textId="32F8BA5D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Pension/Non-Contributory Pension</w:t>
            </w:r>
          </w:p>
        </w:tc>
        <w:tc>
          <w:tcPr>
            <w:tcW w:w="993" w:type="pct"/>
            <w:noWrap/>
          </w:tcPr>
          <w:p w14:paraId="2B618D3F" w14:textId="066567C4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2,979</w:t>
            </w:r>
          </w:p>
        </w:tc>
        <w:tc>
          <w:tcPr>
            <w:tcW w:w="752" w:type="pct"/>
            <w:noWrap/>
          </w:tcPr>
          <w:p w14:paraId="587469E0" w14:textId="210EA85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23.9%</w:t>
            </w:r>
          </w:p>
        </w:tc>
      </w:tr>
      <w:tr w:rsidR="00C535E5" w:rsidRPr="00104174" w14:paraId="207B724E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934AD97" w14:textId="2677D551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993" w:type="pct"/>
            <w:noWrap/>
          </w:tcPr>
          <w:p w14:paraId="64F44F1F" w14:textId="4192B72C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793</w:t>
            </w:r>
          </w:p>
        </w:tc>
        <w:tc>
          <w:tcPr>
            <w:tcW w:w="752" w:type="pct"/>
            <w:noWrap/>
          </w:tcPr>
          <w:p w14:paraId="0B8C4D3A" w14:textId="2B0FC3A9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6.4%</w:t>
            </w:r>
          </w:p>
        </w:tc>
      </w:tr>
      <w:tr w:rsidR="00C535E5" w:rsidRPr="00104174" w14:paraId="3C51F89E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8BF6D2E" w14:textId="56ECCCD5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993" w:type="pct"/>
            <w:noWrap/>
          </w:tcPr>
          <w:p w14:paraId="72CC6A21" w14:textId="4824AB13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528</w:t>
            </w:r>
          </w:p>
        </w:tc>
        <w:tc>
          <w:tcPr>
            <w:tcW w:w="752" w:type="pct"/>
            <w:noWrap/>
          </w:tcPr>
          <w:p w14:paraId="27106DD3" w14:textId="3FE38F1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4.2%</w:t>
            </w:r>
          </w:p>
        </w:tc>
      </w:tr>
      <w:tr w:rsidR="00C535E5" w:rsidRPr="00104174" w14:paraId="53D3E895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F2F3154" w14:textId="5A87EDDA" w:rsidR="00C535E5" w:rsidRPr="00104174" w:rsidRDefault="00C535E5" w:rsidP="006D6BB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Homemakers Scheme/HomeCaring Periods Scheme</w:t>
            </w:r>
          </w:p>
        </w:tc>
        <w:tc>
          <w:tcPr>
            <w:tcW w:w="993" w:type="pct"/>
            <w:noWrap/>
          </w:tcPr>
          <w:p w14:paraId="70841C62" w14:textId="65B0E405" w:rsidR="00C535E5" w:rsidRPr="00104174" w:rsidRDefault="00C535E5" w:rsidP="006D6BB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517</w:t>
            </w:r>
          </w:p>
        </w:tc>
        <w:tc>
          <w:tcPr>
            <w:tcW w:w="752" w:type="pct"/>
            <w:noWrap/>
          </w:tcPr>
          <w:p w14:paraId="1741D6A3" w14:textId="21912E7C" w:rsidR="00C535E5" w:rsidRPr="00104174" w:rsidRDefault="00C535E5" w:rsidP="006D6BB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4.2%</w:t>
            </w:r>
          </w:p>
        </w:tc>
      </w:tr>
      <w:tr w:rsidR="00C535E5" w:rsidRPr="00104174" w14:paraId="2270369A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AC0EFA8" w14:textId="69C7C25E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993" w:type="pct"/>
            <w:noWrap/>
          </w:tcPr>
          <w:p w14:paraId="36B6EB41" w14:textId="4F38EBC1" w:rsidR="00C535E5" w:rsidRPr="006737D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73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489</w:t>
            </w:r>
          </w:p>
        </w:tc>
        <w:tc>
          <w:tcPr>
            <w:tcW w:w="752" w:type="pct"/>
            <w:noWrap/>
          </w:tcPr>
          <w:p w14:paraId="226BF3AF" w14:textId="0E4365F5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3.9%</w:t>
            </w:r>
          </w:p>
        </w:tc>
      </w:tr>
      <w:tr w:rsidR="00C535E5" w:rsidRPr="00104174" w14:paraId="1B85FE3C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7A68C56" w14:textId="40AC4DBA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993" w:type="pct"/>
            <w:noWrap/>
          </w:tcPr>
          <w:p w14:paraId="0B628EE5" w14:textId="232CF9A1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205</w:t>
            </w:r>
          </w:p>
        </w:tc>
        <w:tc>
          <w:tcPr>
            <w:tcW w:w="752" w:type="pct"/>
            <w:noWrap/>
          </w:tcPr>
          <w:p w14:paraId="5F109DE3" w14:textId="0D727F12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1.6%</w:t>
            </w:r>
          </w:p>
        </w:tc>
      </w:tr>
      <w:tr w:rsidR="00C535E5" w:rsidRPr="00104174" w14:paraId="0CFEA461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BF9FD85" w14:textId="6AC11FBE" w:rsidR="00C535E5" w:rsidRPr="00EA7B99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u w:val="single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407FBF64" w14:textId="2FC647F5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12,471</w:t>
            </w:r>
          </w:p>
        </w:tc>
        <w:tc>
          <w:tcPr>
            <w:tcW w:w="752" w:type="pct"/>
            <w:noWrap/>
          </w:tcPr>
          <w:p w14:paraId="7FDE44B4" w14:textId="5E14A7A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5508C" w:rsidRPr="00104174" w14:paraId="4E06B29B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2F4A3CAE" w14:textId="07EF6D8F" w:rsidR="0035508C" w:rsidRPr="00104174" w:rsidRDefault="0035508C" w:rsidP="0035508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Extra Social Welfare Benefits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ab/>
              <w:t xml:space="preserve">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12.7%</w:t>
            </w:r>
          </w:p>
        </w:tc>
      </w:tr>
      <w:tr w:rsidR="00C535E5" w:rsidRPr="00104174" w14:paraId="5D300407" w14:textId="77777777" w:rsidTr="006659D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4FE41E7" w14:textId="717B70B3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993" w:type="pct"/>
            <w:noWrap/>
          </w:tcPr>
          <w:p w14:paraId="39332085" w14:textId="620B1DB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3,860</w:t>
            </w:r>
          </w:p>
        </w:tc>
        <w:tc>
          <w:tcPr>
            <w:tcW w:w="752" w:type="pct"/>
            <w:noWrap/>
          </w:tcPr>
          <w:p w14:paraId="797373D7" w14:textId="09921D1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35.0%</w:t>
            </w:r>
          </w:p>
        </w:tc>
      </w:tr>
      <w:tr w:rsidR="00C535E5" w:rsidRPr="00104174" w14:paraId="37E5F681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60480B2" w14:textId="274E730B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993" w:type="pct"/>
            <w:noWrap/>
          </w:tcPr>
          <w:p w14:paraId="25CA27D9" w14:textId="5ABC50D9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3,368</w:t>
            </w:r>
          </w:p>
        </w:tc>
        <w:tc>
          <w:tcPr>
            <w:tcW w:w="752" w:type="pct"/>
            <w:noWrap/>
          </w:tcPr>
          <w:p w14:paraId="57677AFC" w14:textId="2C91A1DF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30.6%</w:t>
            </w:r>
          </w:p>
        </w:tc>
      </w:tr>
      <w:tr w:rsidR="00C535E5" w:rsidRPr="00104174" w14:paraId="5130917A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C9B03CC" w14:textId="6EDD642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Free Travel (Travel Card, Companion Card, etc)</w:t>
            </w:r>
          </w:p>
        </w:tc>
        <w:tc>
          <w:tcPr>
            <w:tcW w:w="993" w:type="pct"/>
            <w:noWrap/>
          </w:tcPr>
          <w:p w14:paraId="21ED7FA7" w14:textId="7AC1BAF2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1,823</w:t>
            </w:r>
          </w:p>
        </w:tc>
        <w:tc>
          <w:tcPr>
            <w:tcW w:w="752" w:type="pct"/>
            <w:noWrap/>
          </w:tcPr>
          <w:p w14:paraId="2F46FBA4" w14:textId="7BD4FF1F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16.5%</w:t>
            </w:r>
          </w:p>
        </w:tc>
      </w:tr>
      <w:tr w:rsidR="00C535E5" w:rsidRPr="00104174" w14:paraId="6E6D8816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4FF2415" w14:textId="54E5E171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993" w:type="pct"/>
            <w:noWrap/>
          </w:tcPr>
          <w:p w14:paraId="7B183B2D" w14:textId="723DC8F0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1,539</w:t>
            </w:r>
          </w:p>
        </w:tc>
        <w:tc>
          <w:tcPr>
            <w:tcW w:w="752" w:type="pct"/>
            <w:noWrap/>
          </w:tcPr>
          <w:p w14:paraId="6BA32FCC" w14:textId="1AA12C7C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14.0%</w:t>
            </w:r>
          </w:p>
        </w:tc>
      </w:tr>
      <w:tr w:rsidR="00C535E5" w:rsidRPr="00104174" w14:paraId="2F8434C0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3F751CA" w14:textId="7D2F642F" w:rsidR="00C535E5" w:rsidRPr="001F4BD8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lastRenderedPageBreak/>
              <w:t>Telephone Support Allowance</w:t>
            </w:r>
          </w:p>
        </w:tc>
        <w:tc>
          <w:tcPr>
            <w:tcW w:w="993" w:type="pct"/>
            <w:noWrap/>
          </w:tcPr>
          <w:p w14:paraId="22099F55" w14:textId="10C0ED17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752" w:type="pct"/>
            <w:noWrap/>
          </w:tcPr>
          <w:p w14:paraId="66323766" w14:textId="337D0E3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</w:tr>
      <w:tr w:rsidR="00C535E5" w:rsidRPr="00104174" w14:paraId="3369FF91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75ED6E9" w14:textId="7A54678C" w:rsidR="00C535E5" w:rsidRPr="001F4BD8" w:rsidRDefault="00C535E5" w:rsidP="006D6BB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Treatment Benefits</w:t>
            </w:r>
          </w:p>
        </w:tc>
        <w:tc>
          <w:tcPr>
            <w:tcW w:w="993" w:type="pct"/>
            <w:noWrap/>
          </w:tcPr>
          <w:p w14:paraId="7C67712C" w14:textId="2BF222D0" w:rsidR="00C535E5" w:rsidRPr="00104174" w:rsidRDefault="00C535E5" w:rsidP="006D6BB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752" w:type="pct"/>
            <w:noWrap/>
          </w:tcPr>
          <w:p w14:paraId="276D9E98" w14:textId="7C7C2263" w:rsidR="00C535E5" w:rsidRPr="00104174" w:rsidRDefault="00C535E5" w:rsidP="006D6BB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</w:tr>
      <w:tr w:rsidR="00C535E5" w:rsidRPr="00104174" w14:paraId="6F7008C5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47711DB" w14:textId="3D50DD16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Cost of Living Increases</w:t>
            </w:r>
          </w:p>
        </w:tc>
        <w:tc>
          <w:tcPr>
            <w:tcW w:w="993" w:type="pct"/>
            <w:noWrap/>
          </w:tcPr>
          <w:p w14:paraId="56F4D9E5" w14:textId="41401F75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52" w:type="pct"/>
            <w:noWrap/>
          </w:tcPr>
          <w:p w14:paraId="0A581025" w14:textId="457E4A00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</w:tr>
      <w:tr w:rsidR="00C535E5" w:rsidRPr="00104174" w14:paraId="0DE1B477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0446D90" w14:textId="69A1B826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Christmas Bonus</w:t>
            </w:r>
          </w:p>
        </w:tc>
        <w:tc>
          <w:tcPr>
            <w:tcW w:w="993" w:type="pct"/>
            <w:noWrap/>
          </w:tcPr>
          <w:p w14:paraId="6C2C0D71" w14:textId="31D92AD3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752" w:type="pct"/>
            <w:noWrap/>
          </w:tcPr>
          <w:p w14:paraId="710CA9F9" w14:textId="6272DBBE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C535E5" w:rsidRPr="00104174" w14:paraId="0E5E5630" w14:textId="77777777" w:rsidTr="006659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14E368C" w14:textId="1D53FFCF" w:rsidR="00C535E5" w:rsidRPr="00EA7B99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u w:val="single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408F76F8" w14:textId="4B6295A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11,020</w:t>
            </w:r>
          </w:p>
        </w:tc>
        <w:tc>
          <w:tcPr>
            <w:tcW w:w="752" w:type="pct"/>
            <w:noWrap/>
          </w:tcPr>
          <w:p w14:paraId="5AD3E754" w14:textId="466BA108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5508C" w:rsidRPr="00104174" w14:paraId="6C4A5064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7DDEED80" w14:textId="71C2C064" w:rsidR="0035508C" w:rsidRPr="00104174" w:rsidRDefault="00441446" w:rsidP="004414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Carers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ab/>
              <w:t xml:space="preserve">                                    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11.6%</w:t>
            </w:r>
          </w:p>
        </w:tc>
      </w:tr>
      <w:tr w:rsidR="00C535E5" w:rsidRPr="00104174" w14:paraId="349082AB" w14:textId="77777777" w:rsidTr="006659D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4F20D333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993" w:type="pct"/>
            <w:noWrap/>
            <w:hideMark/>
          </w:tcPr>
          <w:p w14:paraId="39532E49" w14:textId="0F30763A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5,926</w:t>
            </w:r>
          </w:p>
        </w:tc>
        <w:tc>
          <w:tcPr>
            <w:tcW w:w="752" w:type="pct"/>
            <w:noWrap/>
            <w:hideMark/>
          </w:tcPr>
          <w:p w14:paraId="4723696E" w14:textId="13F26B73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58.9%</w:t>
            </w:r>
          </w:p>
        </w:tc>
      </w:tr>
      <w:tr w:rsidR="00C535E5" w:rsidRPr="00104174" w14:paraId="063641A5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BDACB70" w14:textId="3CBFD0A4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Carer's Support Grant (Respite Care Grant) </w:t>
            </w:r>
          </w:p>
        </w:tc>
        <w:tc>
          <w:tcPr>
            <w:tcW w:w="993" w:type="pct"/>
            <w:noWrap/>
          </w:tcPr>
          <w:p w14:paraId="03BB49B4" w14:textId="26D5842F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1,269</w:t>
            </w:r>
          </w:p>
        </w:tc>
        <w:tc>
          <w:tcPr>
            <w:tcW w:w="752" w:type="pct"/>
            <w:noWrap/>
          </w:tcPr>
          <w:p w14:paraId="430732D7" w14:textId="56627B21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12.6%</w:t>
            </w:r>
          </w:p>
        </w:tc>
      </w:tr>
      <w:tr w:rsidR="00C535E5" w:rsidRPr="00104174" w14:paraId="55B9667B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6A33AEE4" w14:textId="34C1ADFE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993" w:type="pct"/>
            <w:noWrap/>
            <w:hideMark/>
          </w:tcPr>
          <w:p w14:paraId="5BC960CE" w14:textId="71251E0F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1,112</w:t>
            </w:r>
          </w:p>
        </w:tc>
        <w:tc>
          <w:tcPr>
            <w:tcW w:w="752" w:type="pct"/>
            <w:noWrap/>
            <w:hideMark/>
          </w:tcPr>
          <w:p w14:paraId="5793A1F7" w14:textId="795E29E0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11.1%</w:t>
            </w:r>
          </w:p>
        </w:tc>
      </w:tr>
      <w:tr w:rsidR="00C535E5" w:rsidRPr="00104174" w14:paraId="6608E097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30B31D6D" w14:textId="60F5C103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993" w:type="pct"/>
            <w:noWrap/>
            <w:hideMark/>
          </w:tcPr>
          <w:p w14:paraId="627CB896" w14:textId="450F3996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1,099</w:t>
            </w:r>
          </w:p>
        </w:tc>
        <w:tc>
          <w:tcPr>
            <w:tcW w:w="752" w:type="pct"/>
            <w:noWrap/>
            <w:hideMark/>
          </w:tcPr>
          <w:p w14:paraId="65C23219" w14:textId="7CF4894C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10.9%</w:t>
            </w:r>
          </w:p>
        </w:tc>
      </w:tr>
      <w:tr w:rsidR="00C535E5" w:rsidRPr="00104174" w14:paraId="7D0F5EA8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7F317A94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Half-rate Carer's Allowance</w:t>
            </w:r>
          </w:p>
        </w:tc>
        <w:tc>
          <w:tcPr>
            <w:tcW w:w="993" w:type="pct"/>
            <w:noWrap/>
            <w:hideMark/>
          </w:tcPr>
          <w:p w14:paraId="28386B5D" w14:textId="0E62DA85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653</w:t>
            </w:r>
          </w:p>
        </w:tc>
        <w:tc>
          <w:tcPr>
            <w:tcW w:w="752" w:type="pct"/>
            <w:noWrap/>
            <w:hideMark/>
          </w:tcPr>
          <w:p w14:paraId="177BA255" w14:textId="479CE23F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6.5%</w:t>
            </w:r>
          </w:p>
        </w:tc>
      </w:tr>
      <w:tr w:rsidR="00C535E5" w:rsidRPr="00104174" w14:paraId="459A7C5C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445D8E33" w14:textId="77777777" w:rsidR="00C535E5" w:rsidRPr="00EA7B99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u w:val="single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  <w:hideMark/>
          </w:tcPr>
          <w:p w14:paraId="542506E1" w14:textId="4A796367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10,059</w:t>
            </w:r>
          </w:p>
        </w:tc>
        <w:tc>
          <w:tcPr>
            <w:tcW w:w="752" w:type="pct"/>
            <w:noWrap/>
            <w:hideMark/>
          </w:tcPr>
          <w:p w14:paraId="2B85C31A" w14:textId="043249B2" w:rsidR="00C535E5" w:rsidRPr="00104174" w:rsidRDefault="007C3077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41446" w:rsidRPr="00104174" w14:paraId="56AA93E4" w14:textId="77777777" w:rsidTr="006659D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375518F1" w14:textId="6903D080" w:rsidR="00441446" w:rsidRPr="00104174" w:rsidRDefault="00B1131C" w:rsidP="00B113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Families and Children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ab/>
              <w:t xml:space="preserve">            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10.4%</w:t>
            </w:r>
          </w:p>
        </w:tc>
      </w:tr>
      <w:tr w:rsidR="00C535E5" w:rsidRPr="00104174" w14:paraId="4BE34A6F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283E44F6" w14:textId="372594E1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Working Family Payment (WFP) </w:t>
            </w:r>
          </w:p>
        </w:tc>
        <w:tc>
          <w:tcPr>
            <w:tcW w:w="993" w:type="pct"/>
            <w:noWrap/>
            <w:hideMark/>
          </w:tcPr>
          <w:p w14:paraId="77E84FEE" w14:textId="0A85C00E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3,083</w:t>
            </w:r>
          </w:p>
        </w:tc>
        <w:tc>
          <w:tcPr>
            <w:tcW w:w="752" w:type="pct"/>
            <w:noWrap/>
            <w:hideMark/>
          </w:tcPr>
          <w:p w14:paraId="264F5101" w14:textId="2BDF3B67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34.3%</w:t>
            </w:r>
          </w:p>
        </w:tc>
      </w:tr>
      <w:tr w:rsidR="00C535E5" w:rsidRPr="00104174" w14:paraId="742D8A86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76799F87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993" w:type="pct"/>
            <w:noWrap/>
            <w:hideMark/>
          </w:tcPr>
          <w:p w14:paraId="32EA06F0" w14:textId="756C110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1,573</w:t>
            </w:r>
          </w:p>
        </w:tc>
        <w:tc>
          <w:tcPr>
            <w:tcW w:w="752" w:type="pct"/>
            <w:noWrap/>
            <w:hideMark/>
          </w:tcPr>
          <w:p w14:paraId="5718F9A1" w14:textId="653AA69D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17.5%</w:t>
            </w:r>
          </w:p>
        </w:tc>
      </w:tr>
      <w:tr w:rsidR="00C535E5" w:rsidRPr="00104174" w14:paraId="426B56C2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797EA1B6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993" w:type="pct"/>
            <w:noWrap/>
            <w:hideMark/>
          </w:tcPr>
          <w:p w14:paraId="0A0ECB1E" w14:textId="7C80323B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1,481</w:t>
            </w:r>
          </w:p>
        </w:tc>
        <w:tc>
          <w:tcPr>
            <w:tcW w:w="752" w:type="pct"/>
            <w:noWrap/>
            <w:hideMark/>
          </w:tcPr>
          <w:p w14:paraId="7492E515" w14:textId="4390D31A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16.5%</w:t>
            </w:r>
          </w:p>
        </w:tc>
      </w:tr>
      <w:tr w:rsidR="00C535E5" w:rsidRPr="00104174" w14:paraId="1EA96FE3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1B6080E" w14:textId="4989F644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993" w:type="pct"/>
            <w:noWrap/>
          </w:tcPr>
          <w:p w14:paraId="7F5FD00F" w14:textId="0B688009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824</w:t>
            </w:r>
          </w:p>
        </w:tc>
        <w:tc>
          <w:tcPr>
            <w:tcW w:w="752" w:type="pct"/>
            <w:noWrap/>
          </w:tcPr>
          <w:p w14:paraId="19BDBA86" w14:textId="550140C9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9.2%</w:t>
            </w:r>
          </w:p>
        </w:tc>
      </w:tr>
      <w:tr w:rsidR="00C535E5" w:rsidRPr="00104174" w14:paraId="4D3C58B4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64EBD956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993" w:type="pct"/>
            <w:noWrap/>
            <w:hideMark/>
          </w:tcPr>
          <w:p w14:paraId="46FDAEA1" w14:textId="6D7F4B51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585</w:t>
            </w:r>
          </w:p>
        </w:tc>
        <w:tc>
          <w:tcPr>
            <w:tcW w:w="752" w:type="pct"/>
            <w:noWrap/>
            <w:hideMark/>
          </w:tcPr>
          <w:p w14:paraId="0D213008" w14:textId="4C9AC00E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6.5%</w:t>
            </w:r>
          </w:p>
        </w:tc>
      </w:tr>
      <w:tr w:rsidR="00C535E5" w:rsidRPr="00104174" w14:paraId="647DE828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809F23E" w14:textId="07B6576D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993" w:type="pct"/>
            <w:noWrap/>
          </w:tcPr>
          <w:p w14:paraId="709EFBC7" w14:textId="78E202F4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477</w:t>
            </w:r>
          </w:p>
        </w:tc>
        <w:tc>
          <w:tcPr>
            <w:tcW w:w="752" w:type="pct"/>
            <w:noWrap/>
          </w:tcPr>
          <w:p w14:paraId="1E2DF788" w14:textId="24BC5FF8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5.3%</w:t>
            </w:r>
          </w:p>
        </w:tc>
      </w:tr>
      <w:tr w:rsidR="00C535E5" w:rsidRPr="00104174" w14:paraId="1D545CAE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2CDB31CD" w14:textId="52558301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993" w:type="pct"/>
            <w:noWrap/>
            <w:hideMark/>
          </w:tcPr>
          <w:p w14:paraId="70125724" w14:textId="1C7F76EC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351</w:t>
            </w:r>
          </w:p>
        </w:tc>
        <w:tc>
          <w:tcPr>
            <w:tcW w:w="752" w:type="pct"/>
            <w:noWrap/>
            <w:hideMark/>
          </w:tcPr>
          <w:p w14:paraId="0AA5FFD6" w14:textId="50809D5A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3.9%</w:t>
            </w:r>
          </w:p>
        </w:tc>
      </w:tr>
      <w:tr w:rsidR="00C535E5" w:rsidRPr="00104174" w14:paraId="585B1DED" w14:textId="77777777" w:rsidTr="006659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647EC577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993" w:type="pct"/>
            <w:noWrap/>
            <w:hideMark/>
          </w:tcPr>
          <w:p w14:paraId="6E6A5D97" w14:textId="087A9D7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262</w:t>
            </w:r>
          </w:p>
        </w:tc>
        <w:tc>
          <w:tcPr>
            <w:tcW w:w="752" w:type="pct"/>
            <w:noWrap/>
            <w:hideMark/>
          </w:tcPr>
          <w:p w14:paraId="01955143" w14:textId="564C6F4B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2.9%</w:t>
            </w:r>
          </w:p>
        </w:tc>
      </w:tr>
      <w:tr w:rsidR="00C535E5" w:rsidRPr="00104174" w14:paraId="0EDCB293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6754A98" w14:textId="2C29A7CA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993" w:type="pct"/>
            <w:noWrap/>
          </w:tcPr>
          <w:p w14:paraId="0CBB8F46" w14:textId="688E0801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752" w:type="pct"/>
            <w:noWrap/>
          </w:tcPr>
          <w:p w14:paraId="12743332" w14:textId="4D52E9D9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1.7%</w:t>
            </w:r>
          </w:p>
        </w:tc>
      </w:tr>
      <w:tr w:rsidR="00C535E5" w:rsidRPr="00104174" w14:paraId="30D6CB7F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7DE08F2B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993" w:type="pct"/>
            <w:noWrap/>
            <w:hideMark/>
          </w:tcPr>
          <w:p w14:paraId="2AE16799" w14:textId="759CD048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153</w:t>
            </w:r>
          </w:p>
        </w:tc>
        <w:tc>
          <w:tcPr>
            <w:tcW w:w="752" w:type="pct"/>
            <w:noWrap/>
            <w:hideMark/>
          </w:tcPr>
          <w:p w14:paraId="24501F8B" w14:textId="4707BB96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1.7%</w:t>
            </w:r>
          </w:p>
        </w:tc>
      </w:tr>
      <w:tr w:rsidR="00C535E5" w:rsidRPr="00104174" w14:paraId="2B0F81A9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BB50736" w14:textId="0189D4AB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993" w:type="pct"/>
            <w:noWrap/>
          </w:tcPr>
          <w:p w14:paraId="4AE27DE1" w14:textId="0F5E3246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752" w:type="pct"/>
            <w:noWrap/>
          </w:tcPr>
          <w:p w14:paraId="6E0403B7" w14:textId="48CA5506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0.3%</w:t>
            </w:r>
          </w:p>
        </w:tc>
      </w:tr>
      <w:tr w:rsidR="00C535E5" w:rsidRPr="00104174" w14:paraId="32A56BA5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742EBE2" w14:textId="323E94E2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993" w:type="pct"/>
            <w:noWrap/>
          </w:tcPr>
          <w:p w14:paraId="4D601691" w14:textId="6ED142F5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752" w:type="pct"/>
            <w:noWrap/>
          </w:tcPr>
          <w:p w14:paraId="7A4E8DDE" w14:textId="55ADE147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0.3%</w:t>
            </w:r>
          </w:p>
        </w:tc>
      </w:tr>
      <w:tr w:rsidR="00C535E5" w:rsidRPr="00104174" w14:paraId="2B9238D7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03CA0538" w14:textId="777777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993" w:type="pct"/>
            <w:noWrap/>
            <w:hideMark/>
          </w:tcPr>
          <w:p w14:paraId="7836D64F" w14:textId="1000FEB6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52" w:type="pct"/>
            <w:noWrap/>
            <w:hideMark/>
          </w:tcPr>
          <w:p w14:paraId="6AC891E7" w14:textId="355CC25C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0.0%</w:t>
            </w:r>
          </w:p>
        </w:tc>
      </w:tr>
      <w:tr w:rsidR="00C535E5" w:rsidRPr="00104174" w14:paraId="7DDFAB7D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22CFE3A0" w14:textId="77777777" w:rsidR="00C535E5" w:rsidRPr="00EA7B99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u w:val="single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  <w:hideMark/>
          </w:tcPr>
          <w:p w14:paraId="1C5C262D" w14:textId="769896B4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9,001</w:t>
            </w:r>
          </w:p>
        </w:tc>
        <w:tc>
          <w:tcPr>
            <w:tcW w:w="752" w:type="pct"/>
            <w:noWrap/>
            <w:hideMark/>
          </w:tcPr>
          <w:p w14:paraId="163156E7" w14:textId="3026489A" w:rsidR="00C535E5" w:rsidRPr="00104174" w:rsidRDefault="007C3077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75A80" w:rsidRPr="00104174" w14:paraId="376F2768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25AB4B29" w14:textId="572FE3C9" w:rsidR="00D75A80" w:rsidRPr="00104174" w:rsidRDefault="00D75A80" w:rsidP="00D75A8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lastRenderedPageBreak/>
              <w:t>Supplementary Welfare Schemes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8.7%</w:t>
            </w:r>
          </w:p>
        </w:tc>
      </w:tr>
      <w:tr w:rsidR="00C535E5" w:rsidRPr="00104174" w14:paraId="78E78948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3F6033A0" w14:textId="61AB4703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993" w:type="pct"/>
            <w:noWrap/>
            <w:hideMark/>
          </w:tcPr>
          <w:p w14:paraId="68A96A66" w14:textId="5AFDB482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3,764</w:t>
            </w:r>
          </w:p>
        </w:tc>
        <w:tc>
          <w:tcPr>
            <w:tcW w:w="752" w:type="pct"/>
            <w:noWrap/>
            <w:hideMark/>
          </w:tcPr>
          <w:p w14:paraId="4663ACC3" w14:textId="374B823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50.2%</w:t>
            </w:r>
          </w:p>
        </w:tc>
      </w:tr>
      <w:tr w:rsidR="00C535E5" w:rsidRPr="00104174" w14:paraId="5631DACD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6E242623" w14:textId="37B1ACB2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993" w:type="pct"/>
            <w:noWrap/>
            <w:hideMark/>
          </w:tcPr>
          <w:p w14:paraId="7BD80DF6" w14:textId="0EEF79B4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2,911</w:t>
            </w:r>
          </w:p>
        </w:tc>
        <w:tc>
          <w:tcPr>
            <w:tcW w:w="752" w:type="pct"/>
            <w:noWrap/>
            <w:hideMark/>
          </w:tcPr>
          <w:p w14:paraId="2A9CA34F" w14:textId="4CE4DB48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38.8%</w:t>
            </w:r>
          </w:p>
        </w:tc>
      </w:tr>
      <w:tr w:rsidR="00C535E5" w:rsidRPr="00104174" w14:paraId="29BD2A77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201B4ED4" w14:textId="3A786B66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993" w:type="pct"/>
            <w:noWrap/>
            <w:hideMark/>
          </w:tcPr>
          <w:p w14:paraId="52ABD7A2" w14:textId="2A8F7083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790</w:t>
            </w:r>
          </w:p>
        </w:tc>
        <w:tc>
          <w:tcPr>
            <w:tcW w:w="752" w:type="pct"/>
            <w:noWrap/>
            <w:hideMark/>
          </w:tcPr>
          <w:p w14:paraId="257C39AB" w14:textId="576FBB7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10.5%</w:t>
            </w:r>
          </w:p>
        </w:tc>
      </w:tr>
      <w:tr w:rsidR="00C535E5" w:rsidRPr="00104174" w14:paraId="0A657501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6A6E8A3D" w14:textId="12C2FF5D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993" w:type="pct"/>
            <w:noWrap/>
            <w:hideMark/>
          </w:tcPr>
          <w:p w14:paraId="2DBA2565" w14:textId="5507F144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</w:t>
            </w:r>
          </w:p>
        </w:tc>
        <w:tc>
          <w:tcPr>
            <w:tcW w:w="752" w:type="pct"/>
            <w:noWrap/>
            <w:hideMark/>
          </w:tcPr>
          <w:p w14:paraId="5939685C" w14:textId="4DFFF757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0.4%</w:t>
            </w:r>
          </w:p>
        </w:tc>
      </w:tr>
      <w:tr w:rsidR="00C535E5" w:rsidRPr="00104174" w14:paraId="388B95D0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7EEE6657" w14:textId="486C5103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993" w:type="pct"/>
            <w:noWrap/>
            <w:hideMark/>
          </w:tcPr>
          <w:p w14:paraId="1AD9133D" w14:textId="282A2E11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752" w:type="pct"/>
            <w:noWrap/>
            <w:hideMark/>
          </w:tcPr>
          <w:p w14:paraId="14C3D9EA" w14:textId="73BED14C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C535E5" w:rsidRPr="00104174" w14:paraId="1C9CFDCA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3068C116" w14:textId="4EEAC4CB" w:rsidR="00C535E5" w:rsidRPr="00EA7B99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u w:val="single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  <w:hideMark/>
          </w:tcPr>
          <w:p w14:paraId="3DC447DA" w14:textId="6B34DC6E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7,506</w:t>
            </w:r>
          </w:p>
        </w:tc>
        <w:tc>
          <w:tcPr>
            <w:tcW w:w="752" w:type="pct"/>
            <w:noWrap/>
            <w:hideMark/>
          </w:tcPr>
          <w:p w14:paraId="2E054E63" w14:textId="116F41CE" w:rsidR="00C535E5" w:rsidRPr="00104174" w:rsidRDefault="007C3077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75A80" w:rsidRPr="00104174" w14:paraId="051E74CC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30714986" w14:textId="04FEA2BF" w:rsidR="00D75A80" w:rsidRPr="00104174" w:rsidRDefault="00667A77" w:rsidP="00667A7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Unemployed People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ab/>
              <w:t xml:space="preserve">            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8.4%</w:t>
            </w:r>
          </w:p>
        </w:tc>
      </w:tr>
      <w:tr w:rsidR="00C535E5" w:rsidRPr="00104174" w14:paraId="381C05FB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8468599" w14:textId="2127557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993" w:type="pct"/>
            <w:noWrap/>
          </w:tcPr>
          <w:p w14:paraId="348012BA" w14:textId="4FFD44CD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3,984</w:t>
            </w:r>
          </w:p>
        </w:tc>
        <w:tc>
          <w:tcPr>
            <w:tcW w:w="752" w:type="pct"/>
            <w:noWrap/>
          </w:tcPr>
          <w:p w14:paraId="305B42BC" w14:textId="7E01CD64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54.6%</w:t>
            </w:r>
          </w:p>
        </w:tc>
      </w:tr>
      <w:tr w:rsidR="00C535E5" w:rsidRPr="00104174" w14:paraId="39B9DB7E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0EE041A" w14:textId="24212FE6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993" w:type="pct"/>
            <w:noWrap/>
          </w:tcPr>
          <w:p w14:paraId="16201F35" w14:textId="6E0EE1B4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2,232</w:t>
            </w:r>
          </w:p>
        </w:tc>
        <w:tc>
          <w:tcPr>
            <w:tcW w:w="752" w:type="pct"/>
            <w:noWrap/>
          </w:tcPr>
          <w:p w14:paraId="6959EBD9" w14:textId="1BF4A610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30.6%</w:t>
            </w:r>
          </w:p>
        </w:tc>
      </w:tr>
      <w:tr w:rsidR="00C535E5" w:rsidRPr="00104174" w14:paraId="2DB10B85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86500AA" w14:textId="27C98EFA" w:rsidR="00C535E5" w:rsidRPr="001F4BD8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Payments and Work</w:t>
            </w:r>
          </w:p>
        </w:tc>
        <w:tc>
          <w:tcPr>
            <w:tcW w:w="993" w:type="pct"/>
            <w:noWrap/>
          </w:tcPr>
          <w:p w14:paraId="75D730FA" w14:textId="3D586129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550</w:t>
            </w:r>
          </w:p>
        </w:tc>
        <w:tc>
          <w:tcPr>
            <w:tcW w:w="752" w:type="pct"/>
            <w:noWrap/>
          </w:tcPr>
          <w:p w14:paraId="5B7EE200" w14:textId="0DDB14EB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</w:tr>
      <w:tr w:rsidR="00C535E5" w:rsidRPr="00104174" w14:paraId="5BD60940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989F6F3" w14:textId="61473DDC" w:rsidR="00C535E5" w:rsidRPr="001F4BD8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Transitional Payment</w:t>
            </w:r>
          </w:p>
        </w:tc>
        <w:tc>
          <w:tcPr>
            <w:tcW w:w="993" w:type="pct"/>
            <w:noWrap/>
          </w:tcPr>
          <w:p w14:paraId="5CD39AB2" w14:textId="2323A2F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425</w:t>
            </w:r>
          </w:p>
        </w:tc>
        <w:tc>
          <w:tcPr>
            <w:tcW w:w="752" w:type="pct"/>
            <w:noWrap/>
          </w:tcPr>
          <w:p w14:paraId="3CE29760" w14:textId="55A01F51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</w:tr>
      <w:tr w:rsidR="00C535E5" w:rsidRPr="00104174" w14:paraId="726E2B4E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72F330B" w14:textId="7AC99288" w:rsidR="00C535E5" w:rsidRPr="001F4BD8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Unemployed following self-employment</w:t>
            </w:r>
          </w:p>
        </w:tc>
        <w:tc>
          <w:tcPr>
            <w:tcW w:w="993" w:type="pct"/>
            <w:noWrap/>
          </w:tcPr>
          <w:p w14:paraId="38C5EDE2" w14:textId="03B0067F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103</w:t>
            </w:r>
          </w:p>
        </w:tc>
        <w:tc>
          <w:tcPr>
            <w:tcW w:w="752" w:type="pct"/>
            <w:noWrap/>
          </w:tcPr>
          <w:p w14:paraId="1C43DC7B" w14:textId="7CABB940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C535E5" w:rsidRPr="00104174" w14:paraId="58898DB3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8274926" w14:textId="2BF865F7" w:rsidR="00C535E5" w:rsidRPr="00EA7B99" w:rsidRDefault="00C535E5" w:rsidP="008D574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062E099B" w14:textId="5AB3DAA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7,294</w:t>
            </w:r>
          </w:p>
        </w:tc>
        <w:tc>
          <w:tcPr>
            <w:tcW w:w="752" w:type="pct"/>
            <w:noWrap/>
          </w:tcPr>
          <w:p w14:paraId="2F3327C5" w14:textId="245BE318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67A77" w:rsidRPr="00104174" w14:paraId="18FD4A6A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20AFF2AB" w14:textId="2F5B390B" w:rsidR="00667A77" w:rsidRPr="00104174" w:rsidRDefault="003C7149" w:rsidP="003C714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Insurance (PRSI)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5.7%</w:t>
            </w:r>
          </w:p>
        </w:tc>
      </w:tr>
      <w:tr w:rsidR="00C535E5" w:rsidRPr="00104174" w14:paraId="3838D8B4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15735674" w14:textId="6B44B39D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PRSI Records/Paid Contributions</w:t>
            </w:r>
          </w:p>
        </w:tc>
        <w:tc>
          <w:tcPr>
            <w:tcW w:w="993" w:type="pct"/>
            <w:noWrap/>
            <w:hideMark/>
          </w:tcPr>
          <w:p w14:paraId="04C86647" w14:textId="64EC81B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2,129</w:t>
            </w:r>
          </w:p>
        </w:tc>
        <w:tc>
          <w:tcPr>
            <w:tcW w:w="752" w:type="pct"/>
            <w:noWrap/>
            <w:hideMark/>
          </w:tcPr>
          <w:p w14:paraId="170865DF" w14:textId="0B781006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43.4%</w:t>
            </w:r>
          </w:p>
        </w:tc>
      </w:tr>
      <w:tr w:rsidR="00C535E5" w:rsidRPr="00104174" w14:paraId="5CDE2E86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471479FB" w14:textId="15C6DA92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PPS Number</w:t>
            </w:r>
          </w:p>
        </w:tc>
        <w:tc>
          <w:tcPr>
            <w:tcW w:w="993" w:type="pct"/>
            <w:noWrap/>
            <w:hideMark/>
          </w:tcPr>
          <w:p w14:paraId="77987922" w14:textId="37AE4495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752" w:type="pct"/>
            <w:noWrap/>
            <w:hideMark/>
          </w:tcPr>
          <w:p w14:paraId="2F6BFD39" w14:textId="7305A135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18.4%</w:t>
            </w:r>
          </w:p>
        </w:tc>
      </w:tr>
      <w:tr w:rsidR="00C535E5" w:rsidRPr="00104174" w14:paraId="2ABA7AD8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78146B63" w14:textId="1DC7FE6A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Credited Contributions</w:t>
            </w:r>
          </w:p>
        </w:tc>
        <w:tc>
          <w:tcPr>
            <w:tcW w:w="993" w:type="pct"/>
            <w:noWrap/>
            <w:hideMark/>
          </w:tcPr>
          <w:p w14:paraId="4268A73B" w14:textId="5112A3EF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484</w:t>
            </w:r>
          </w:p>
        </w:tc>
        <w:tc>
          <w:tcPr>
            <w:tcW w:w="752" w:type="pct"/>
            <w:noWrap/>
            <w:hideMark/>
          </w:tcPr>
          <w:p w14:paraId="43E45C6C" w14:textId="5D1007E7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9.9%</w:t>
            </w:r>
          </w:p>
        </w:tc>
      </w:tr>
      <w:tr w:rsidR="00C535E5" w:rsidRPr="00104174" w14:paraId="67B031AC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0636B7B" w14:textId="0A76D4F6" w:rsidR="00C535E5" w:rsidRPr="001F4BD8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Homemakers Scheme/HomeCaring Periods Scheme</w:t>
            </w:r>
          </w:p>
        </w:tc>
        <w:tc>
          <w:tcPr>
            <w:tcW w:w="993" w:type="pct"/>
            <w:noWrap/>
          </w:tcPr>
          <w:p w14:paraId="511F1AC9" w14:textId="410AF721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752" w:type="pct"/>
            <w:noWrap/>
          </w:tcPr>
          <w:p w14:paraId="31536757" w14:textId="05D39AAD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</w:tr>
      <w:tr w:rsidR="00C535E5" w:rsidRPr="00104174" w14:paraId="300198AB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9EF415F" w14:textId="70BC13A6" w:rsidR="00C535E5" w:rsidRPr="00104174" w:rsidRDefault="00C535E5" w:rsidP="008D5744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993" w:type="pct"/>
            <w:noWrap/>
          </w:tcPr>
          <w:p w14:paraId="2AABB8BF" w14:textId="7A4AA809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313</w:t>
            </w:r>
          </w:p>
        </w:tc>
        <w:tc>
          <w:tcPr>
            <w:tcW w:w="752" w:type="pct"/>
            <w:noWrap/>
          </w:tcPr>
          <w:p w14:paraId="18DB4C0F" w14:textId="32BC65BD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</w:tr>
      <w:tr w:rsidR="00C535E5" w:rsidRPr="00104174" w14:paraId="418B1CE3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37E57C96" w14:textId="4B379468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993" w:type="pct"/>
            <w:noWrap/>
            <w:hideMark/>
          </w:tcPr>
          <w:p w14:paraId="79E94FB2" w14:textId="5D9D8339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313</w:t>
            </w:r>
          </w:p>
        </w:tc>
        <w:tc>
          <w:tcPr>
            <w:tcW w:w="752" w:type="pct"/>
            <w:noWrap/>
            <w:hideMark/>
          </w:tcPr>
          <w:p w14:paraId="06A34B44" w14:textId="79FDF306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</w:tr>
      <w:tr w:rsidR="00C535E5" w:rsidRPr="00104174" w14:paraId="1B44B125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769B81E" w14:textId="334D050A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Long-Term Carer Contributions</w:t>
            </w:r>
          </w:p>
        </w:tc>
        <w:tc>
          <w:tcPr>
            <w:tcW w:w="993" w:type="pct"/>
            <w:noWrap/>
          </w:tcPr>
          <w:p w14:paraId="5DC93E7C" w14:textId="6532EF51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752" w:type="pct"/>
            <w:noWrap/>
          </w:tcPr>
          <w:p w14:paraId="0C6F0CA4" w14:textId="054D1395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</w:tr>
      <w:tr w:rsidR="00C535E5" w:rsidRPr="00104174" w14:paraId="2B15CAC4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3408A77" w14:textId="31683881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3" w:type="pct"/>
            <w:noWrap/>
          </w:tcPr>
          <w:p w14:paraId="3E0CDE42" w14:textId="4787588F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752" w:type="pct"/>
            <w:noWrap/>
          </w:tcPr>
          <w:p w14:paraId="0EB75A74" w14:textId="4BB26B0D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</w:tr>
      <w:tr w:rsidR="00C535E5" w:rsidRPr="00104174" w14:paraId="466B6F8D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BB4E8F1" w14:textId="295FFC32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Employer’s PRSI</w:t>
            </w:r>
          </w:p>
        </w:tc>
        <w:tc>
          <w:tcPr>
            <w:tcW w:w="993" w:type="pct"/>
            <w:noWrap/>
          </w:tcPr>
          <w:p w14:paraId="66596BD2" w14:textId="21E7A212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42</w:t>
            </w:r>
          </w:p>
        </w:tc>
        <w:tc>
          <w:tcPr>
            <w:tcW w:w="752" w:type="pct"/>
            <w:noWrap/>
          </w:tcPr>
          <w:p w14:paraId="0F8A4450" w14:textId="30601A0F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</w:tr>
      <w:tr w:rsidR="00C535E5" w:rsidRPr="00104174" w14:paraId="5E4E9313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274B08DA" w14:textId="08310E32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  <w:hideMark/>
          </w:tcPr>
          <w:p w14:paraId="049F6180" w14:textId="0D998F01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4,904</w:t>
            </w:r>
          </w:p>
        </w:tc>
        <w:tc>
          <w:tcPr>
            <w:tcW w:w="752" w:type="pct"/>
            <w:noWrap/>
            <w:hideMark/>
          </w:tcPr>
          <w:p w14:paraId="716C2EDC" w14:textId="0A240373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928D2" w:rsidRPr="00104174" w14:paraId="76DA9A56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40BEE817" w14:textId="1CAE194E" w:rsidR="006928D2" w:rsidRPr="00104174" w:rsidRDefault="0051045E" w:rsidP="005104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 Miscellaneous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5.2%</w:t>
            </w:r>
          </w:p>
        </w:tc>
      </w:tr>
      <w:tr w:rsidR="00C535E5" w:rsidRPr="00104174" w14:paraId="6E84F961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BCDF8AB" w14:textId="6A7DF8C4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3" w:type="pct"/>
            <w:noWrap/>
          </w:tcPr>
          <w:p w14:paraId="07C99316" w14:textId="4A9E411A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1,175</w:t>
            </w:r>
          </w:p>
        </w:tc>
        <w:tc>
          <w:tcPr>
            <w:tcW w:w="752" w:type="pct"/>
            <w:noWrap/>
          </w:tcPr>
          <w:p w14:paraId="5B1C7A19" w14:textId="1CFE97CD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26.3%</w:t>
            </w:r>
          </w:p>
        </w:tc>
      </w:tr>
      <w:tr w:rsidR="00C535E5" w:rsidRPr="00104174" w14:paraId="387646DD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D269701" w14:textId="67B1D62B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993" w:type="pct"/>
            <w:noWrap/>
          </w:tcPr>
          <w:p w14:paraId="5C7BE1F2" w14:textId="55F46233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892</w:t>
            </w:r>
          </w:p>
        </w:tc>
        <w:tc>
          <w:tcPr>
            <w:tcW w:w="752" w:type="pct"/>
            <w:noWrap/>
          </w:tcPr>
          <w:p w14:paraId="1797DFED" w14:textId="57AD51AA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20.0%</w:t>
            </w:r>
          </w:p>
        </w:tc>
      </w:tr>
      <w:tr w:rsidR="00C535E5" w:rsidRPr="00104174" w14:paraId="26CFABD7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769E4E3" w14:textId="0F382560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lastRenderedPageBreak/>
              <w:t>Means Tests</w:t>
            </w:r>
          </w:p>
        </w:tc>
        <w:tc>
          <w:tcPr>
            <w:tcW w:w="993" w:type="pct"/>
            <w:noWrap/>
          </w:tcPr>
          <w:p w14:paraId="347EBEBE" w14:textId="25565AE7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852</w:t>
            </w:r>
          </w:p>
        </w:tc>
        <w:tc>
          <w:tcPr>
            <w:tcW w:w="752" w:type="pct"/>
            <w:noWrap/>
          </w:tcPr>
          <w:p w14:paraId="7D68569C" w14:textId="6485771E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19.1%</w:t>
            </w:r>
          </w:p>
        </w:tc>
      </w:tr>
      <w:tr w:rsidR="00C535E5" w:rsidRPr="00104174" w14:paraId="15393AF3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2513F24" w14:textId="614DEC0D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993" w:type="pct"/>
            <w:noWrap/>
          </w:tcPr>
          <w:p w14:paraId="31F04DE7" w14:textId="2F70E852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640</w:t>
            </w:r>
          </w:p>
        </w:tc>
        <w:tc>
          <w:tcPr>
            <w:tcW w:w="752" w:type="pct"/>
            <w:noWrap/>
          </w:tcPr>
          <w:p w14:paraId="6AE95A47" w14:textId="1E6EACB8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14.3%</w:t>
            </w:r>
          </w:p>
        </w:tc>
      </w:tr>
      <w:tr w:rsidR="00C535E5" w:rsidRPr="00104174" w14:paraId="32BA1D35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259BE0E" w14:textId="2FCAA454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993" w:type="pct"/>
            <w:noWrap/>
          </w:tcPr>
          <w:p w14:paraId="67DCF554" w14:textId="5EC3644C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395</w:t>
            </w:r>
          </w:p>
        </w:tc>
        <w:tc>
          <w:tcPr>
            <w:tcW w:w="752" w:type="pct"/>
            <w:noWrap/>
          </w:tcPr>
          <w:p w14:paraId="22BC73FB" w14:textId="6E1783E6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8.9%</w:t>
            </w:r>
          </w:p>
        </w:tc>
      </w:tr>
      <w:tr w:rsidR="00C535E5" w:rsidRPr="00104174" w14:paraId="24353B42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4A5AAC0" w14:textId="6BD8912F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993" w:type="pct"/>
            <w:noWrap/>
          </w:tcPr>
          <w:p w14:paraId="32945560" w14:textId="6AB90E2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326</w:t>
            </w:r>
          </w:p>
        </w:tc>
        <w:tc>
          <w:tcPr>
            <w:tcW w:w="752" w:type="pct"/>
            <w:noWrap/>
          </w:tcPr>
          <w:p w14:paraId="7F9C249B" w14:textId="3CC20FC8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7.3%</w:t>
            </w:r>
          </w:p>
        </w:tc>
      </w:tr>
      <w:tr w:rsidR="00C535E5" w:rsidRPr="00104174" w14:paraId="382B64A1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737549D" w14:textId="339E3328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993" w:type="pct"/>
            <w:noWrap/>
          </w:tcPr>
          <w:p w14:paraId="20B5F80F" w14:textId="7312EC45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64</w:t>
            </w:r>
          </w:p>
        </w:tc>
        <w:tc>
          <w:tcPr>
            <w:tcW w:w="752" w:type="pct"/>
            <w:noWrap/>
          </w:tcPr>
          <w:p w14:paraId="7FFA1603" w14:textId="1606DBF6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1.4%</w:t>
            </w:r>
          </w:p>
        </w:tc>
      </w:tr>
      <w:tr w:rsidR="00C535E5" w:rsidRPr="00104174" w14:paraId="34998657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2904D46" w14:textId="1379A3D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993" w:type="pct"/>
            <w:noWrap/>
          </w:tcPr>
          <w:p w14:paraId="54F15C68" w14:textId="3253A223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52</w:t>
            </w:r>
          </w:p>
        </w:tc>
        <w:tc>
          <w:tcPr>
            <w:tcW w:w="752" w:type="pct"/>
            <w:noWrap/>
          </w:tcPr>
          <w:p w14:paraId="4A72E3CA" w14:textId="40F91E37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1.2%</w:t>
            </w:r>
          </w:p>
        </w:tc>
      </w:tr>
      <w:tr w:rsidR="00C535E5" w:rsidRPr="00104174" w14:paraId="33ED60B6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3A275A5" w14:textId="07512B97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SW Inspectors</w:t>
            </w:r>
          </w:p>
        </w:tc>
        <w:tc>
          <w:tcPr>
            <w:tcW w:w="993" w:type="pct"/>
            <w:noWrap/>
          </w:tcPr>
          <w:p w14:paraId="5A8807E4" w14:textId="62D62048" w:rsidR="00C535E5" w:rsidRPr="006737D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73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752" w:type="pct"/>
            <w:noWrap/>
          </w:tcPr>
          <w:p w14:paraId="2FA3A493" w14:textId="774265A4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0.6%</w:t>
            </w:r>
          </w:p>
        </w:tc>
      </w:tr>
      <w:tr w:rsidR="00C535E5" w:rsidRPr="00104174" w14:paraId="41948DF8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78162A8" w14:textId="773AA47A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993" w:type="pct"/>
            <w:noWrap/>
          </w:tcPr>
          <w:p w14:paraId="69B2C68F" w14:textId="0507FBD2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752" w:type="pct"/>
            <w:noWrap/>
          </w:tcPr>
          <w:p w14:paraId="0A783BA3" w14:textId="25AC3D0F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0.5%</w:t>
            </w:r>
          </w:p>
        </w:tc>
      </w:tr>
      <w:tr w:rsidR="00C535E5" w:rsidRPr="00104174" w14:paraId="478DED45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E41F7C5" w14:textId="6F5B7352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EU/EEA/Switzerland</w:t>
            </w:r>
          </w:p>
        </w:tc>
        <w:tc>
          <w:tcPr>
            <w:tcW w:w="993" w:type="pct"/>
            <w:noWrap/>
          </w:tcPr>
          <w:p w14:paraId="43CB3681" w14:textId="6FD66118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752" w:type="pct"/>
            <w:noWrap/>
          </w:tcPr>
          <w:p w14:paraId="65F6C91B" w14:textId="08736300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0.3%</w:t>
            </w:r>
          </w:p>
        </w:tc>
      </w:tr>
      <w:tr w:rsidR="00C535E5" w:rsidRPr="00104174" w14:paraId="1347A81B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FEAC830" w14:textId="06DB2BDD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993" w:type="pct"/>
            <w:noWrap/>
          </w:tcPr>
          <w:p w14:paraId="3D0E941B" w14:textId="7FC769F5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52" w:type="pct"/>
            <w:noWrap/>
          </w:tcPr>
          <w:p w14:paraId="7354B243" w14:textId="3E090A29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C535E5" w:rsidRPr="00104174" w14:paraId="1193AE0B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8B7C1C2" w14:textId="64E20700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0C90F251" w14:textId="29F99BD2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4,462</w:t>
            </w:r>
          </w:p>
        </w:tc>
        <w:tc>
          <w:tcPr>
            <w:tcW w:w="752" w:type="pct"/>
            <w:noWrap/>
          </w:tcPr>
          <w:p w14:paraId="2FACC1CD" w14:textId="43A52519" w:rsidR="00C535E5" w:rsidRPr="00104174" w:rsidRDefault="007C3077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043893" w:rsidRPr="00104174" w14:paraId="28D22686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0F0AB519" w14:textId="758B29A6" w:rsidR="00043893" w:rsidRPr="00104174" w:rsidRDefault="00043893" w:rsidP="00043893">
            <w:pPr>
              <w:tabs>
                <w:tab w:val="left" w:pos="1260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Activation Schemes, Education and Training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1.4%</w:t>
            </w:r>
          </w:p>
        </w:tc>
      </w:tr>
      <w:tr w:rsidR="00C535E5" w:rsidRPr="00104174" w14:paraId="5C155F10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ADD13F9" w14:textId="62CCC490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Education Allowance (BTEA)</w:t>
            </w:r>
          </w:p>
        </w:tc>
        <w:tc>
          <w:tcPr>
            <w:tcW w:w="993" w:type="pct"/>
            <w:noWrap/>
          </w:tcPr>
          <w:p w14:paraId="0E542D19" w14:textId="5AF7333E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501</w:t>
            </w:r>
          </w:p>
        </w:tc>
        <w:tc>
          <w:tcPr>
            <w:tcW w:w="752" w:type="pct"/>
            <w:noWrap/>
          </w:tcPr>
          <w:p w14:paraId="4E52DDD7" w14:textId="7802D26A" w:rsidR="00C535E5" w:rsidRPr="00104174" w:rsidRDefault="006659D6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40.5</w:t>
            </w:r>
            <w:r w:rsidR="00C535E5"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0CFCD261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4804D7A" w14:textId="62F77712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Back to Work Enterprise Allowance (BTWEA) </w:t>
            </w:r>
          </w:p>
        </w:tc>
        <w:tc>
          <w:tcPr>
            <w:tcW w:w="993" w:type="pct"/>
            <w:noWrap/>
          </w:tcPr>
          <w:p w14:paraId="59293190" w14:textId="35F9E06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265</w:t>
            </w:r>
          </w:p>
        </w:tc>
        <w:tc>
          <w:tcPr>
            <w:tcW w:w="752" w:type="pct"/>
            <w:noWrap/>
          </w:tcPr>
          <w:p w14:paraId="1C5F3EE7" w14:textId="217076DE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1.4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0C90D6C4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6AA5AFE" w14:textId="4A9FC73A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Community Employment (CE)</w:t>
            </w:r>
          </w:p>
        </w:tc>
        <w:tc>
          <w:tcPr>
            <w:tcW w:w="993" w:type="pct"/>
            <w:noWrap/>
          </w:tcPr>
          <w:p w14:paraId="50716D6E" w14:textId="31185362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65</w:t>
            </w:r>
          </w:p>
        </w:tc>
        <w:tc>
          <w:tcPr>
            <w:tcW w:w="752" w:type="pct"/>
            <w:noWrap/>
          </w:tcPr>
          <w:p w14:paraId="2A8006C7" w14:textId="74C41F89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21.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60382E9D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D07F525" w14:textId="42E009AE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Tús</w:t>
            </w:r>
          </w:p>
        </w:tc>
        <w:tc>
          <w:tcPr>
            <w:tcW w:w="993" w:type="pct"/>
            <w:noWrap/>
          </w:tcPr>
          <w:p w14:paraId="055436DB" w14:textId="06131762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45</w:t>
            </w:r>
          </w:p>
        </w:tc>
        <w:tc>
          <w:tcPr>
            <w:tcW w:w="752" w:type="pct"/>
            <w:noWrap/>
          </w:tcPr>
          <w:p w14:paraId="0AC91BB2" w14:textId="30F40FA1" w:rsidR="00C535E5" w:rsidRPr="00104174" w:rsidRDefault="00C535E5" w:rsidP="008D57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07BFA1C2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FB015E3" w14:textId="77BFB73E" w:rsidR="00C535E5" w:rsidRPr="00104174" w:rsidRDefault="00C535E5" w:rsidP="008D574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JobPath</w:t>
            </w:r>
            <w:proofErr w:type="spellEnd"/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 - Seetec/Turas Nua</w:t>
            </w:r>
          </w:p>
        </w:tc>
        <w:tc>
          <w:tcPr>
            <w:tcW w:w="993" w:type="pct"/>
            <w:noWrap/>
          </w:tcPr>
          <w:p w14:paraId="71446381" w14:textId="61110B37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40</w:t>
            </w:r>
          </w:p>
        </w:tc>
        <w:tc>
          <w:tcPr>
            <w:tcW w:w="752" w:type="pct"/>
            <w:noWrap/>
          </w:tcPr>
          <w:p w14:paraId="67AA34FC" w14:textId="4C494C60" w:rsidR="00C535E5" w:rsidRPr="00104174" w:rsidRDefault="00C535E5" w:rsidP="008D57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C535E5" w:rsidRPr="00104174" w14:paraId="6FE2860C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9F5D646" w14:textId="581475AB" w:rsidR="00C535E5" w:rsidRPr="001F4BD8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Part-time Education Option (PTEO)</w:t>
            </w:r>
          </w:p>
        </w:tc>
        <w:tc>
          <w:tcPr>
            <w:tcW w:w="993" w:type="pct"/>
            <w:noWrap/>
          </w:tcPr>
          <w:p w14:paraId="772A1B7C" w14:textId="09E4F444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52" w:type="pct"/>
            <w:noWrap/>
          </w:tcPr>
          <w:p w14:paraId="256D5F02" w14:textId="3B64B496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2.</w:t>
            </w:r>
            <w:r w:rsidR="006659D6">
              <w:rPr>
                <w:rFonts w:ascii="Calibri" w:hAnsi="Calibri" w:cs="Calibri"/>
                <w:sz w:val="20"/>
                <w:szCs w:val="20"/>
              </w:rPr>
              <w:t>7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7D9B2BA0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ABA43C7" w14:textId="1BED59F1" w:rsidR="00C535E5" w:rsidRPr="001F4BD8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993" w:type="pct"/>
            <w:noWrap/>
          </w:tcPr>
          <w:p w14:paraId="06C71857" w14:textId="4D0A47BF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52" w:type="pct"/>
            <w:noWrap/>
          </w:tcPr>
          <w:p w14:paraId="1EFD7C6D" w14:textId="3B93F14C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561D3D82" w14:textId="77777777" w:rsidTr="006659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3607220" w14:textId="59FA7E21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Rural Social Scheme</w:t>
            </w:r>
          </w:p>
        </w:tc>
        <w:tc>
          <w:tcPr>
            <w:tcW w:w="993" w:type="pct"/>
            <w:noWrap/>
          </w:tcPr>
          <w:p w14:paraId="560734ED" w14:textId="45027AD5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752" w:type="pct"/>
            <w:noWrap/>
          </w:tcPr>
          <w:p w14:paraId="6D865950" w14:textId="1B771B84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69C46C68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3C1377D" w14:textId="39A95B4B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LAES (Local Area Employment Services)</w:t>
            </w:r>
          </w:p>
        </w:tc>
        <w:tc>
          <w:tcPr>
            <w:tcW w:w="993" w:type="pct"/>
            <w:noWrap/>
          </w:tcPr>
          <w:p w14:paraId="267A55CF" w14:textId="6CC1AE14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52" w:type="pct"/>
            <w:noWrap/>
          </w:tcPr>
          <w:p w14:paraId="3E3A9DCC" w14:textId="01956243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5CAEF0EF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C340817" w14:textId="7BDC1CAE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JobsPlus</w:t>
            </w:r>
            <w:proofErr w:type="spellEnd"/>
          </w:p>
        </w:tc>
        <w:tc>
          <w:tcPr>
            <w:tcW w:w="993" w:type="pct"/>
            <w:noWrap/>
          </w:tcPr>
          <w:p w14:paraId="53273E9C" w14:textId="0E5C314C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752" w:type="pct"/>
            <w:noWrap/>
          </w:tcPr>
          <w:p w14:paraId="2399C1DD" w14:textId="293EA7C5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3609525E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2AEA53B" w14:textId="464548DB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Part-Time Job Incentive Scheme (PTJI)</w:t>
            </w:r>
          </w:p>
        </w:tc>
        <w:tc>
          <w:tcPr>
            <w:tcW w:w="993" w:type="pct"/>
            <w:noWrap/>
          </w:tcPr>
          <w:p w14:paraId="7105A604" w14:textId="6AB62EA9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752" w:type="pct"/>
            <w:noWrap/>
          </w:tcPr>
          <w:p w14:paraId="00BEE2A4" w14:textId="663E9A77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0760B0CD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6E91778" w14:textId="6D88A5B6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 Placement Experience Programme</w:t>
            </w:r>
          </w:p>
        </w:tc>
        <w:tc>
          <w:tcPr>
            <w:tcW w:w="993" w:type="pct"/>
            <w:noWrap/>
          </w:tcPr>
          <w:p w14:paraId="1736559A" w14:textId="1AC71BC3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52" w:type="pct"/>
            <w:noWrap/>
          </w:tcPr>
          <w:p w14:paraId="1A7EA3DA" w14:textId="7ED517EF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10417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535E5" w:rsidRPr="00104174" w14:paraId="3770D78F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B588B43" w14:textId="6BFC1F93" w:rsidR="00C535E5" w:rsidRPr="001F4BD8" w:rsidRDefault="00C535E5" w:rsidP="0049677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F4B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Gateway</w:t>
            </w:r>
          </w:p>
        </w:tc>
        <w:tc>
          <w:tcPr>
            <w:tcW w:w="993" w:type="pct"/>
            <w:noWrap/>
          </w:tcPr>
          <w:p w14:paraId="6EE36E7E" w14:textId="4254383F" w:rsidR="00C535E5" w:rsidRDefault="00C535E5" w:rsidP="0049677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52" w:type="pct"/>
            <w:noWrap/>
          </w:tcPr>
          <w:p w14:paraId="2612B9DB" w14:textId="08B4173F" w:rsidR="00C535E5" w:rsidRPr="00104174" w:rsidRDefault="00C535E5" w:rsidP="0049677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C535E5" w:rsidRPr="00104174" w14:paraId="3B911DF5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6ABF15D" w14:textId="0E3E2AC2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0D573FB3" w14:textId="69230ABA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37</w:t>
            </w:r>
          </w:p>
        </w:tc>
        <w:tc>
          <w:tcPr>
            <w:tcW w:w="752" w:type="pct"/>
            <w:noWrap/>
          </w:tcPr>
          <w:p w14:paraId="6733715E" w14:textId="1991C91B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043893" w:rsidRPr="00104174" w14:paraId="37AE9D0C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64F575A1" w14:textId="259696D1" w:rsidR="00043893" w:rsidRPr="00104174" w:rsidRDefault="00AA3C0E" w:rsidP="00AA3C0E">
            <w:pPr>
              <w:tabs>
                <w:tab w:val="right" w:pos="729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 Appeals</w:t>
            </w:r>
            <w:r w:rsidR="006659D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1.7%</w:t>
            </w:r>
          </w:p>
        </w:tc>
      </w:tr>
      <w:tr w:rsidR="00C535E5" w:rsidRPr="00104174" w14:paraId="5945E26F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4D24D33" w14:textId="5E394D91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993" w:type="pct"/>
            <w:noWrap/>
          </w:tcPr>
          <w:p w14:paraId="02E863AA" w14:textId="786BBC7F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534</w:t>
            </w:r>
          </w:p>
        </w:tc>
        <w:tc>
          <w:tcPr>
            <w:tcW w:w="752" w:type="pct"/>
            <w:noWrap/>
          </w:tcPr>
          <w:p w14:paraId="284424D6" w14:textId="46587C06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36.4%</w:t>
            </w:r>
          </w:p>
        </w:tc>
      </w:tr>
      <w:tr w:rsidR="00C535E5" w:rsidRPr="00104174" w14:paraId="205DD93F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726692C" w14:textId="349065F3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lastRenderedPageBreak/>
              <w:t>Invalidity Pension</w:t>
            </w:r>
          </w:p>
        </w:tc>
        <w:tc>
          <w:tcPr>
            <w:tcW w:w="993" w:type="pct"/>
            <w:noWrap/>
          </w:tcPr>
          <w:p w14:paraId="679D7780" w14:textId="475D5A05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226</w:t>
            </w:r>
          </w:p>
        </w:tc>
        <w:tc>
          <w:tcPr>
            <w:tcW w:w="752" w:type="pct"/>
            <w:noWrap/>
          </w:tcPr>
          <w:p w14:paraId="1EFE6462" w14:textId="7AC38DE1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15.4%</w:t>
            </w:r>
          </w:p>
        </w:tc>
      </w:tr>
      <w:tr w:rsidR="00C535E5" w:rsidRPr="00104174" w14:paraId="53EED737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0075962C" w14:textId="3614C095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993" w:type="pct"/>
            <w:noWrap/>
          </w:tcPr>
          <w:p w14:paraId="3A0EC065" w14:textId="126CA89E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212</w:t>
            </w:r>
          </w:p>
        </w:tc>
        <w:tc>
          <w:tcPr>
            <w:tcW w:w="752" w:type="pct"/>
            <w:noWrap/>
          </w:tcPr>
          <w:p w14:paraId="62F7B530" w14:textId="3B1E7169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14.5%</w:t>
            </w:r>
          </w:p>
        </w:tc>
      </w:tr>
      <w:tr w:rsidR="00C535E5" w:rsidRPr="00104174" w14:paraId="4F8101FA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40E6976" w14:textId="75746B32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993" w:type="pct"/>
            <w:noWrap/>
          </w:tcPr>
          <w:p w14:paraId="77F0A0BE" w14:textId="774938ED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116</w:t>
            </w:r>
          </w:p>
        </w:tc>
        <w:tc>
          <w:tcPr>
            <w:tcW w:w="752" w:type="pct"/>
            <w:noWrap/>
          </w:tcPr>
          <w:p w14:paraId="655380CC" w14:textId="00CAF8BC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7.9%</w:t>
            </w:r>
          </w:p>
        </w:tc>
      </w:tr>
      <w:tr w:rsidR="00C535E5" w:rsidRPr="00104174" w14:paraId="371E0EEF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63F338F" w14:textId="64827D56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3" w:type="pct"/>
            <w:noWrap/>
          </w:tcPr>
          <w:p w14:paraId="31A9D8C1" w14:textId="663C6265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116</w:t>
            </w:r>
          </w:p>
        </w:tc>
        <w:tc>
          <w:tcPr>
            <w:tcW w:w="752" w:type="pct"/>
            <w:noWrap/>
          </w:tcPr>
          <w:p w14:paraId="5BED3BDA" w14:textId="529CC3DA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7.9%</w:t>
            </w:r>
          </w:p>
        </w:tc>
      </w:tr>
      <w:tr w:rsidR="00C535E5" w:rsidRPr="00104174" w14:paraId="3532DA52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6678242" w14:textId="593A607C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993" w:type="pct"/>
            <w:noWrap/>
          </w:tcPr>
          <w:p w14:paraId="0BFD01DC" w14:textId="3D474D58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752" w:type="pct"/>
            <w:noWrap/>
          </w:tcPr>
          <w:p w14:paraId="043D0D46" w14:textId="4C9DFFF0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4.2%</w:t>
            </w:r>
          </w:p>
        </w:tc>
      </w:tr>
      <w:tr w:rsidR="00C535E5" w:rsidRPr="00104174" w14:paraId="7977549E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EFF3AAD" w14:textId="782E6CBB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993" w:type="pct"/>
            <w:noWrap/>
          </w:tcPr>
          <w:p w14:paraId="607ACF65" w14:textId="6A85D41F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</w:t>
            </w:r>
          </w:p>
        </w:tc>
        <w:tc>
          <w:tcPr>
            <w:tcW w:w="752" w:type="pct"/>
            <w:noWrap/>
          </w:tcPr>
          <w:p w14:paraId="627339A5" w14:textId="2AABF6BA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2.6%</w:t>
            </w:r>
          </w:p>
        </w:tc>
      </w:tr>
      <w:tr w:rsidR="00C535E5" w:rsidRPr="00104174" w14:paraId="27BF462F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EBC612B" w14:textId="512F98BD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993" w:type="pct"/>
            <w:noWrap/>
          </w:tcPr>
          <w:p w14:paraId="2BE8919A" w14:textId="073B6E1C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36</w:t>
            </w:r>
          </w:p>
        </w:tc>
        <w:tc>
          <w:tcPr>
            <w:tcW w:w="752" w:type="pct"/>
            <w:noWrap/>
          </w:tcPr>
          <w:p w14:paraId="142698C4" w14:textId="147C2614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2.5%</w:t>
            </w:r>
          </w:p>
        </w:tc>
      </w:tr>
      <w:tr w:rsidR="00C535E5" w:rsidRPr="00104174" w14:paraId="0AAF0294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1BB479D" w14:textId="4B155EC6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993" w:type="pct"/>
            <w:noWrap/>
          </w:tcPr>
          <w:p w14:paraId="18B7455A" w14:textId="0E3AD818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752" w:type="pct"/>
            <w:noWrap/>
          </w:tcPr>
          <w:p w14:paraId="49EC5613" w14:textId="29FE20F2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2.0%</w:t>
            </w:r>
          </w:p>
        </w:tc>
      </w:tr>
      <w:tr w:rsidR="00C535E5" w:rsidRPr="00104174" w14:paraId="0818D6D9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DC1E276" w14:textId="0B92A5E8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993" w:type="pct"/>
            <w:noWrap/>
          </w:tcPr>
          <w:p w14:paraId="32197BBF" w14:textId="51DF57D8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752" w:type="pct"/>
            <w:noWrap/>
          </w:tcPr>
          <w:p w14:paraId="16AD0EAE" w14:textId="44C2B700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1.6%</w:t>
            </w:r>
          </w:p>
        </w:tc>
      </w:tr>
      <w:tr w:rsidR="00C535E5" w:rsidRPr="00104174" w14:paraId="43982BDC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ACA6A82" w14:textId="7B635BFD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993" w:type="pct"/>
            <w:noWrap/>
          </w:tcPr>
          <w:p w14:paraId="6264B50C" w14:textId="7BA98CB2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752" w:type="pct"/>
            <w:noWrap/>
          </w:tcPr>
          <w:p w14:paraId="4C827390" w14:textId="14DF7B4B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1.4%</w:t>
            </w:r>
          </w:p>
        </w:tc>
      </w:tr>
      <w:tr w:rsidR="00C535E5" w:rsidRPr="00104174" w14:paraId="59D1C22B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5DC05CC8" w14:textId="0E4BABCE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993" w:type="pct"/>
            <w:noWrap/>
          </w:tcPr>
          <w:p w14:paraId="37B43F78" w14:textId="04876EE7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752" w:type="pct"/>
            <w:noWrap/>
          </w:tcPr>
          <w:p w14:paraId="18F3BE21" w14:textId="58E3CA8E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C535E5" w:rsidRPr="00104174" w14:paraId="5F4509C9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2178A08" w14:textId="0945FDCF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993" w:type="pct"/>
            <w:noWrap/>
          </w:tcPr>
          <w:p w14:paraId="2C170709" w14:textId="527E5EE3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752" w:type="pct"/>
            <w:noWrap/>
          </w:tcPr>
          <w:p w14:paraId="0A75AB9B" w14:textId="217D63D9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1.0%</w:t>
            </w:r>
          </w:p>
        </w:tc>
      </w:tr>
      <w:tr w:rsidR="00C535E5" w:rsidRPr="00104174" w14:paraId="23BEEEE4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ABC2E33" w14:textId="3AFACC4D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993" w:type="pct"/>
            <w:noWrap/>
          </w:tcPr>
          <w:p w14:paraId="204541EE" w14:textId="2117E540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752" w:type="pct"/>
            <w:noWrap/>
          </w:tcPr>
          <w:p w14:paraId="1BFF146A" w14:textId="79D055CA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0.6%</w:t>
            </w:r>
          </w:p>
        </w:tc>
      </w:tr>
      <w:tr w:rsidR="00C535E5" w:rsidRPr="00104174" w14:paraId="03BD203F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FBAE26B" w14:textId="57DB0816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993" w:type="pct"/>
            <w:noWrap/>
          </w:tcPr>
          <w:p w14:paraId="4F8CFDC2" w14:textId="33539951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752" w:type="pct"/>
            <w:noWrap/>
          </w:tcPr>
          <w:p w14:paraId="6EEFE1FA" w14:textId="549EA8E2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0.5%</w:t>
            </w:r>
          </w:p>
        </w:tc>
      </w:tr>
      <w:tr w:rsidR="00C535E5" w:rsidRPr="00104174" w14:paraId="12B1D6DB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051B0B7" w14:textId="21464038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993" w:type="pct"/>
            <w:noWrap/>
          </w:tcPr>
          <w:p w14:paraId="18F537F8" w14:textId="67CB8C78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752" w:type="pct"/>
            <w:noWrap/>
          </w:tcPr>
          <w:p w14:paraId="1270F69E" w14:textId="46435125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0.5%</w:t>
            </w:r>
          </w:p>
        </w:tc>
      </w:tr>
      <w:tr w:rsidR="00C535E5" w:rsidRPr="00104174" w14:paraId="379D37AB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7463E91" w14:textId="482F4CDE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0CDB33C5" w14:textId="470D9F21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1,467</w:t>
            </w:r>
          </w:p>
        </w:tc>
        <w:tc>
          <w:tcPr>
            <w:tcW w:w="752" w:type="pct"/>
            <w:noWrap/>
          </w:tcPr>
          <w:p w14:paraId="505DC00B" w14:textId="293F54C5" w:rsidR="00C535E5" w:rsidRPr="00104174" w:rsidRDefault="007C3077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A3C0E" w:rsidRPr="00104174" w14:paraId="73BE9390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6972CA0F" w14:textId="0A408374" w:rsidR="00AA3C0E" w:rsidRPr="00104174" w:rsidRDefault="00C219E7" w:rsidP="00C219E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Death Related Benefits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1.6%</w:t>
            </w:r>
          </w:p>
        </w:tc>
      </w:tr>
      <w:tr w:rsidR="00C535E5" w:rsidRPr="00104174" w14:paraId="1B35F302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1BF33075" w14:textId="1CF4197B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(Contributory).</w:t>
            </w:r>
          </w:p>
        </w:tc>
        <w:tc>
          <w:tcPr>
            <w:tcW w:w="993" w:type="pct"/>
            <w:noWrap/>
          </w:tcPr>
          <w:p w14:paraId="5B96C12F" w14:textId="745D884C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829</w:t>
            </w:r>
          </w:p>
        </w:tc>
        <w:tc>
          <w:tcPr>
            <w:tcW w:w="752" w:type="pct"/>
            <w:noWrap/>
          </w:tcPr>
          <w:p w14:paraId="417E0942" w14:textId="2ADAB798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59.1%</w:t>
            </w:r>
          </w:p>
        </w:tc>
      </w:tr>
      <w:tr w:rsidR="00C535E5" w:rsidRPr="00104174" w14:paraId="7A793419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C123C7A" w14:textId="1AF5D5F6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(Non-Contributory).</w:t>
            </w:r>
          </w:p>
        </w:tc>
        <w:tc>
          <w:tcPr>
            <w:tcW w:w="993" w:type="pct"/>
            <w:noWrap/>
          </w:tcPr>
          <w:p w14:paraId="72A6F919" w14:textId="525E4943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214</w:t>
            </w:r>
          </w:p>
        </w:tc>
        <w:tc>
          <w:tcPr>
            <w:tcW w:w="752" w:type="pct"/>
            <w:noWrap/>
          </w:tcPr>
          <w:p w14:paraId="0AAF19B0" w14:textId="7E3F1F34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15.2%</w:t>
            </w:r>
          </w:p>
        </w:tc>
      </w:tr>
      <w:tr w:rsidR="00C535E5" w:rsidRPr="00104174" w14:paraId="5A03A300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F1394A7" w14:textId="54CEE2B5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993" w:type="pct"/>
            <w:noWrap/>
          </w:tcPr>
          <w:p w14:paraId="3D3A9D9D" w14:textId="5FEAFAA4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170</w:t>
            </w:r>
          </w:p>
        </w:tc>
        <w:tc>
          <w:tcPr>
            <w:tcW w:w="752" w:type="pct"/>
            <w:noWrap/>
          </w:tcPr>
          <w:p w14:paraId="0CBD6CCD" w14:textId="4ABD9DFC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12.1%</w:t>
            </w:r>
          </w:p>
        </w:tc>
      </w:tr>
      <w:tr w:rsidR="00C535E5" w:rsidRPr="00104174" w14:paraId="21CD4720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2C4017DD" w14:textId="57892A66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993" w:type="pct"/>
            <w:noWrap/>
          </w:tcPr>
          <w:p w14:paraId="31E04EEE" w14:textId="3EE86039" w:rsidR="00C535E5" w:rsidRPr="006737D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73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105</w:t>
            </w:r>
          </w:p>
        </w:tc>
        <w:tc>
          <w:tcPr>
            <w:tcW w:w="752" w:type="pct"/>
            <w:noWrap/>
          </w:tcPr>
          <w:p w14:paraId="0540CB8B" w14:textId="6F3B3806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7.5%</w:t>
            </w:r>
          </w:p>
        </w:tc>
      </w:tr>
      <w:tr w:rsidR="00C535E5" w:rsidRPr="00104174" w14:paraId="7605CE45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68542A7C" w14:textId="6E4C23B4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993" w:type="pct"/>
            <w:noWrap/>
          </w:tcPr>
          <w:p w14:paraId="7FEED73F" w14:textId="62963FFC" w:rsidR="00C535E5" w:rsidRPr="006737D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73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67</w:t>
            </w:r>
          </w:p>
        </w:tc>
        <w:tc>
          <w:tcPr>
            <w:tcW w:w="752" w:type="pct"/>
            <w:noWrap/>
          </w:tcPr>
          <w:p w14:paraId="08C483ED" w14:textId="5674FA0E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4.8%</w:t>
            </w:r>
          </w:p>
        </w:tc>
      </w:tr>
      <w:tr w:rsidR="00C535E5" w:rsidRPr="00104174" w14:paraId="476BC98F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40CE9FFE" w14:textId="491E42FA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993" w:type="pct"/>
            <w:noWrap/>
          </w:tcPr>
          <w:p w14:paraId="51DCADE6" w14:textId="7D2E4A43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752" w:type="pct"/>
            <w:noWrap/>
          </w:tcPr>
          <w:p w14:paraId="1A0831D0" w14:textId="360395A9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1.4%</w:t>
            </w:r>
          </w:p>
        </w:tc>
      </w:tr>
      <w:tr w:rsidR="00C535E5" w:rsidRPr="00104174" w14:paraId="23A54D2C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3660F2EE" w14:textId="7D63E034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405462C3" w14:textId="0C392D44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1,404</w:t>
            </w:r>
          </w:p>
        </w:tc>
        <w:tc>
          <w:tcPr>
            <w:tcW w:w="752" w:type="pct"/>
            <w:noWrap/>
          </w:tcPr>
          <w:p w14:paraId="005DA591" w14:textId="0F588C7F" w:rsidR="00C535E5" w:rsidRPr="00104174" w:rsidRDefault="007C3077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219E7" w:rsidRPr="00104174" w14:paraId="4A1A2C67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D498FB0" w14:textId="28D66D94" w:rsidR="00C219E7" w:rsidRPr="00104174" w:rsidRDefault="004175AD" w:rsidP="004175A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 Benefits Check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1.3%</w:t>
            </w:r>
          </w:p>
        </w:tc>
      </w:tr>
      <w:tr w:rsidR="00C535E5" w:rsidRPr="00104174" w14:paraId="25B183A0" w14:textId="77777777" w:rsidTr="006659D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</w:tcPr>
          <w:p w14:paraId="6270A214" w14:textId="0D1CDFF2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993" w:type="pct"/>
            <w:noWrap/>
          </w:tcPr>
          <w:p w14:paraId="1606B787" w14:textId="50C1F1DE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1,104</w:t>
            </w:r>
          </w:p>
        </w:tc>
        <w:tc>
          <w:tcPr>
            <w:tcW w:w="752" w:type="pct"/>
            <w:noWrap/>
          </w:tcPr>
          <w:p w14:paraId="1ABB7CDA" w14:textId="64888D4C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C535E5" w:rsidRPr="00104174" w14:paraId="162C267B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</w:tcPr>
          <w:p w14:paraId="7403047A" w14:textId="625B667C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</w:tcPr>
          <w:p w14:paraId="32CFBEFF" w14:textId="4864A41F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1,104</w:t>
            </w:r>
          </w:p>
        </w:tc>
        <w:tc>
          <w:tcPr>
            <w:tcW w:w="752" w:type="pct"/>
            <w:noWrap/>
          </w:tcPr>
          <w:p w14:paraId="66DF0E15" w14:textId="6E0A619E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175AD" w:rsidRPr="00104174" w14:paraId="2E9EA9FA" w14:textId="77777777" w:rsidTr="006659D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5B367B6" w14:textId="1819889F" w:rsidR="004175AD" w:rsidRPr="00104174" w:rsidRDefault="00DF2838" w:rsidP="00DF2838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lastRenderedPageBreak/>
              <w:t>Social Welfare Payments and Work</w:t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ab/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1.0%</w:t>
            </w:r>
          </w:p>
        </w:tc>
      </w:tr>
      <w:tr w:rsidR="00C535E5" w:rsidRPr="00104174" w14:paraId="38588CE3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hideMark/>
          </w:tcPr>
          <w:p w14:paraId="063028CF" w14:textId="2F633F6D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993" w:type="pct"/>
            <w:noWrap/>
            <w:hideMark/>
          </w:tcPr>
          <w:p w14:paraId="009A4DCB" w14:textId="0B60309F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886</w:t>
            </w:r>
          </w:p>
        </w:tc>
        <w:tc>
          <w:tcPr>
            <w:tcW w:w="752" w:type="pct"/>
            <w:noWrap/>
            <w:hideMark/>
          </w:tcPr>
          <w:p w14:paraId="3AA71EE2" w14:textId="7B78CE20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C535E5" w:rsidRPr="00104174" w14:paraId="070295D8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1C12DFAA" w14:textId="52139D61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A7B9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  <w:hideMark/>
          </w:tcPr>
          <w:p w14:paraId="1B1B3123" w14:textId="513B86E7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886</w:t>
            </w:r>
          </w:p>
        </w:tc>
        <w:tc>
          <w:tcPr>
            <w:tcW w:w="752" w:type="pct"/>
            <w:noWrap/>
            <w:hideMark/>
          </w:tcPr>
          <w:p w14:paraId="7D38CC4D" w14:textId="0CA82431" w:rsidR="00C535E5" w:rsidRPr="00104174" w:rsidRDefault="007C3077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F0061" w:rsidRPr="00104174" w14:paraId="536E7B5D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751C22C3" w14:textId="6775BDB6" w:rsidR="00DF0061" w:rsidRPr="00104174" w:rsidRDefault="007C3077" w:rsidP="007C307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Farmers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</w:t>
            </w: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0.2%</w:t>
            </w:r>
          </w:p>
        </w:tc>
      </w:tr>
      <w:tr w:rsidR="00C535E5" w:rsidRPr="00104174" w14:paraId="57843BB8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0BFAB66F" w14:textId="77777777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993" w:type="pct"/>
            <w:noWrap/>
            <w:hideMark/>
          </w:tcPr>
          <w:p w14:paraId="2C3573E0" w14:textId="1BCC0404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128</w:t>
            </w:r>
          </w:p>
        </w:tc>
        <w:tc>
          <w:tcPr>
            <w:tcW w:w="752" w:type="pct"/>
            <w:noWrap/>
            <w:hideMark/>
          </w:tcPr>
          <w:p w14:paraId="19AB3105" w14:textId="4B616B58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92.1%</w:t>
            </w:r>
          </w:p>
        </w:tc>
      </w:tr>
      <w:tr w:rsidR="00C535E5" w:rsidRPr="00104174" w14:paraId="02FF763A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169EF8B3" w14:textId="77777777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3" w:type="pct"/>
            <w:noWrap/>
            <w:hideMark/>
          </w:tcPr>
          <w:p w14:paraId="6BB7A76B" w14:textId="56AF7949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752" w:type="pct"/>
            <w:noWrap/>
            <w:hideMark/>
          </w:tcPr>
          <w:p w14:paraId="7F9E9D24" w14:textId="3F8BE2F8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7.9%</w:t>
            </w:r>
          </w:p>
        </w:tc>
      </w:tr>
      <w:tr w:rsidR="00C535E5" w:rsidRPr="00104174" w14:paraId="5F494ECE" w14:textId="77777777" w:rsidTr="006659D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048A5966" w14:textId="77777777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993" w:type="pct"/>
            <w:noWrap/>
            <w:hideMark/>
          </w:tcPr>
          <w:p w14:paraId="4A944518" w14:textId="35E61A24" w:rsidR="00C535E5" w:rsidRPr="00104174" w:rsidRDefault="00C535E5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139</w:t>
            </w:r>
          </w:p>
        </w:tc>
        <w:tc>
          <w:tcPr>
            <w:tcW w:w="752" w:type="pct"/>
            <w:noWrap/>
            <w:hideMark/>
          </w:tcPr>
          <w:p w14:paraId="352B758C" w14:textId="5A2971FF" w:rsidR="00C535E5" w:rsidRPr="00104174" w:rsidRDefault="007C3077" w:rsidP="00AB5AC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535E5" w:rsidRPr="00104174" w14:paraId="7E27C883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pct"/>
            <w:noWrap/>
            <w:hideMark/>
          </w:tcPr>
          <w:p w14:paraId="54ABED71" w14:textId="75BAC0E9" w:rsidR="00C535E5" w:rsidRPr="00104174" w:rsidRDefault="00C535E5" w:rsidP="00AB5AC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Social Welfare Queries</w:t>
            </w:r>
          </w:p>
        </w:tc>
        <w:tc>
          <w:tcPr>
            <w:tcW w:w="993" w:type="pct"/>
            <w:noWrap/>
            <w:hideMark/>
          </w:tcPr>
          <w:p w14:paraId="62C0E4E3" w14:textId="43C54020" w:rsidR="00C535E5" w:rsidRPr="00104174" w:rsidRDefault="00C535E5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86,772</w:t>
            </w:r>
          </w:p>
        </w:tc>
        <w:tc>
          <w:tcPr>
            <w:tcW w:w="752" w:type="pct"/>
            <w:noWrap/>
            <w:hideMark/>
          </w:tcPr>
          <w:p w14:paraId="1D19B454" w14:textId="468EFA20" w:rsidR="00C535E5" w:rsidRPr="00104174" w:rsidRDefault="007C3077" w:rsidP="00AB5AC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100%</w:t>
            </w:r>
          </w:p>
        </w:tc>
      </w:tr>
    </w:tbl>
    <w:p w14:paraId="1E27E3EE" w14:textId="77777777" w:rsidR="009C33A2" w:rsidRPr="00104174" w:rsidRDefault="009C33A2" w:rsidP="008E017C">
      <w:pPr>
        <w:pStyle w:val="Heading1"/>
        <w:rPr>
          <w:rFonts w:ascii="Calibri" w:hAnsi="Calibri" w:cs="Calibri"/>
          <w:b/>
          <w:color w:val="auto"/>
          <w:sz w:val="22"/>
          <w:szCs w:val="22"/>
        </w:rPr>
      </w:pPr>
    </w:p>
    <w:p w14:paraId="273C4411" w14:textId="77777777" w:rsidR="009C33A2" w:rsidRPr="00104174" w:rsidRDefault="009C33A2">
      <w:pPr>
        <w:spacing w:line="259" w:lineRule="auto"/>
        <w:rPr>
          <w:rFonts w:ascii="Calibri" w:eastAsiaTheme="majorEastAsia" w:hAnsi="Calibri" w:cs="Calibri"/>
          <w:b/>
        </w:rPr>
      </w:pPr>
      <w:r w:rsidRPr="00104174">
        <w:rPr>
          <w:rFonts w:ascii="Calibri" w:hAnsi="Calibri" w:cs="Calibri"/>
          <w:b/>
        </w:rPr>
        <w:br w:type="page"/>
      </w:r>
    </w:p>
    <w:p w14:paraId="1000AB93" w14:textId="77777777" w:rsidR="00F2155D" w:rsidRDefault="00F2155D" w:rsidP="008E017C">
      <w:pPr>
        <w:pStyle w:val="Heading1"/>
        <w:rPr>
          <w:rFonts w:ascii="Calibri" w:hAnsi="Calibri" w:cs="Calibri"/>
          <w:b/>
          <w:sz w:val="24"/>
          <w:szCs w:val="24"/>
        </w:rPr>
        <w:sectPr w:rsidR="00F2155D" w:rsidSect="0043240B">
          <w:pgSz w:w="16838" w:h="11906" w:orient="landscape"/>
          <w:pgMar w:top="426" w:right="1440" w:bottom="993" w:left="1440" w:header="708" w:footer="708" w:gutter="0"/>
          <w:cols w:space="708"/>
          <w:docGrid w:linePitch="360"/>
        </w:sectPr>
      </w:pPr>
    </w:p>
    <w:p w14:paraId="65F10D2D" w14:textId="3276F2B7" w:rsidR="004267EC" w:rsidRPr="00104174" w:rsidRDefault="004267EC" w:rsidP="008E017C">
      <w:pPr>
        <w:pStyle w:val="Heading1"/>
        <w:rPr>
          <w:rFonts w:ascii="Calibri" w:hAnsi="Calibri" w:cs="Calibri"/>
          <w:b/>
          <w:sz w:val="24"/>
          <w:szCs w:val="24"/>
        </w:rPr>
      </w:pPr>
      <w:r w:rsidRPr="00104174">
        <w:rPr>
          <w:rFonts w:ascii="Calibri" w:hAnsi="Calibri" w:cs="Calibri"/>
          <w:b/>
          <w:sz w:val="24"/>
          <w:szCs w:val="24"/>
        </w:rPr>
        <w:lastRenderedPageBreak/>
        <w:t xml:space="preserve">Housing </w:t>
      </w:r>
      <w:r w:rsidR="000B3695" w:rsidRPr="00104174">
        <w:rPr>
          <w:rFonts w:ascii="Calibri" w:hAnsi="Calibri" w:cs="Calibri"/>
          <w:b/>
          <w:sz w:val="24"/>
          <w:szCs w:val="24"/>
        </w:rPr>
        <w:t xml:space="preserve">Query Trends </w:t>
      </w:r>
      <w:r w:rsidRPr="00104174">
        <w:rPr>
          <w:rFonts w:ascii="Calibri" w:hAnsi="Calibri" w:cs="Calibri"/>
          <w:b/>
          <w:sz w:val="24"/>
          <w:szCs w:val="24"/>
        </w:rPr>
        <w:t>in Q</w:t>
      </w:r>
      <w:r w:rsidR="00C178D7" w:rsidRPr="00104174">
        <w:rPr>
          <w:rFonts w:ascii="Calibri" w:hAnsi="Calibri" w:cs="Calibri"/>
          <w:b/>
          <w:sz w:val="24"/>
          <w:szCs w:val="24"/>
        </w:rPr>
        <w:t>2</w:t>
      </w:r>
      <w:r w:rsidRPr="00104174">
        <w:rPr>
          <w:rFonts w:ascii="Calibri" w:hAnsi="Calibri" w:cs="Calibri"/>
          <w:b/>
          <w:sz w:val="24"/>
          <w:szCs w:val="24"/>
        </w:rPr>
        <w:t xml:space="preserve"> 202</w:t>
      </w:r>
      <w:r w:rsidR="006737D4">
        <w:rPr>
          <w:rFonts w:ascii="Calibri" w:hAnsi="Calibri" w:cs="Calibri"/>
          <w:b/>
          <w:sz w:val="24"/>
          <w:szCs w:val="24"/>
        </w:rPr>
        <w:t>4</w:t>
      </w:r>
      <w:r w:rsidR="00086128" w:rsidRPr="00104174">
        <w:rPr>
          <w:rFonts w:ascii="Calibri" w:hAnsi="Calibri" w:cs="Calibri"/>
          <w:b/>
          <w:sz w:val="24"/>
          <w:szCs w:val="24"/>
        </w:rPr>
        <w:br/>
      </w:r>
    </w:p>
    <w:p w14:paraId="1D83BF83" w14:textId="722974D7" w:rsidR="009C33A2" w:rsidRPr="00104174" w:rsidRDefault="00B60276" w:rsidP="00086128">
      <w:pPr>
        <w:rPr>
          <w:rFonts w:ascii="Calibri" w:hAnsi="Calibri" w:cs="Calibri"/>
        </w:rPr>
      </w:pPr>
      <w:r w:rsidRPr="00104174">
        <w:rPr>
          <w:rFonts w:ascii="Calibri" w:hAnsi="Calibri" w:cs="Calibri"/>
          <w:b/>
        </w:rPr>
        <w:t xml:space="preserve">Table </w:t>
      </w:r>
      <w:r w:rsidR="006659D6">
        <w:rPr>
          <w:rFonts w:ascii="Calibri" w:hAnsi="Calibri" w:cs="Calibri"/>
          <w:b/>
        </w:rPr>
        <w:t>12</w:t>
      </w:r>
      <w:r w:rsidRPr="00104174">
        <w:rPr>
          <w:rFonts w:ascii="Calibri" w:hAnsi="Calibri" w:cs="Calibri"/>
        </w:rPr>
        <w:t xml:space="preserve"> sets out the </w:t>
      </w:r>
      <w:r w:rsidRPr="00104174">
        <w:rPr>
          <w:rFonts w:ascii="Calibri" w:hAnsi="Calibri" w:cs="Calibri"/>
          <w:b/>
        </w:rPr>
        <w:t>Housing</w:t>
      </w:r>
      <w:r w:rsidRPr="00104174">
        <w:rPr>
          <w:rFonts w:ascii="Calibri" w:hAnsi="Calibri" w:cs="Calibri"/>
        </w:rPr>
        <w:t xml:space="preserve"> query data</w:t>
      </w:r>
      <w:r w:rsidR="00A941B3" w:rsidRPr="00104174">
        <w:rPr>
          <w:rFonts w:ascii="Calibri" w:hAnsi="Calibri" w:cs="Calibri"/>
        </w:rPr>
        <w:t xml:space="preserve">set for Quarter </w:t>
      </w:r>
      <w:r w:rsidR="00C178D7" w:rsidRPr="00104174">
        <w:rPr>
          <w:rFonts w:ascii="Calibri" w:hAnsi="Calibri" w:cs="Calibri"/>
        </w:rPr>
        <w:t>2</w:t>
      </w:r>
      <w:r w:rsidR="00DE397A" w:rsidRPr="00104174">
        <w:rPr>
          <w:rFonts w:ascii="Calibri" w:hAnsi="Calibri" w:cs="Calibri"/>
        </w:rPr>
        <w:t>, 202</w:t>
      </w:r>
      <w:r w:rsidR="004E0A5A" w:rsidRPr="00104174">
        <w:rPr>
          <w:rFonts w:ascii="Calibri" w:hAnsi="Calibri" w:cs="Calibri"/>
        </w:rPr>
        <w:t>4</w:t>
      </w:r>
      <w:r w:rsidRPr="00104174">
        <w:rPr>
          <w:rFonts w:ascii="Calibri" w:hAnsi="Calibri" w:cs="Calibri"/>
        </w:rPr>
        <w:t xml:space="preserve">. </w:t>
      </w:r>
    </w:p>
    <w:p w14:paraId="14277F80" w14:textId="52F8C709" w:rsidR="004E0A5A" w:rsidRPr="00104174" w:rsidRDefault="004E0A5A" w:rsidP="004E0A5A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Housing queries </w:t>
      </w:r>
      <w:r w:rsidR="007C3077">
        <w:rPr>
          <w:rFonts w:ascii="Calibri" w:hAnsi="Calibri" w:cs="Calibri"/>
          <w:bCs/>
        </w:rPr>
        <w:t>decline</w:t>
      </w:r>
      <w:r w:rsidRPr="00104174">
        <w:rPr>
          <w:rFonts w:ascii="Calibri" w:hAnsi="Calibri" w:cs="Calibri"/>
          <w:bCs/>
        </w:rPr>
        <w:t>d by 1.9% between Q2 2023 and Q2 2024</w:t>
      </w:r>
      <w:r w:rsidR="006B57CA">
        <w:rPr>
          <w:rFonts w:ascii="Calibri" w:hAnsi="Calibri" w:cs="Calibri"/>
          <w:bCs/>
        </w:rPr>
        <w:t xml:space="preserve"> (21,539)</w:t>
      </w:r>
      <w:r w:rsidRPr="00104174">
        <w:rPr>
          <w:rFonts w:ascii="Calibri" w:hAnsi="Calibri" w:cs="Calibri"/>
          <w:bCs/>
        </w:rPr>
        <w:t>.</w:t>
      </w:r>
      <w:r w:rsidRPr="00104174">
        <w:rPr>
          <w:rFonts w:ascii="Calibri" w:hAnsi="Calibri" w:cs="Calibri"/>
          <w:bCs/>
        </w:rPr>
        <w:br/>
      </w:r>
    </w:p>
    <w:p w14:paraId="392087BB" w14:textId="31544848" w:rsidR="004E0A5A" w:rsidRPr="00104174" w:rsidRDefault="004E0A5A" w:rsidP="004E0A5A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Local Authority and Social Housing queries increased by 0.7%</w:t>
      </w:r>
      <w:r w:rsidR="005B2846">
        <w:rPr>
          <w:rFonts w:ascii="Calibri" w:hAnsi="Calibri" w:cs="Calibri"/>
          <w:bCs/>
        </w:rPr>
        <w:t xml:space="preserve"> (10,797)</w:t>
      </w:r>
      <w:r w:rsidRPr="00104174">
        <w:rPr>
          <w:rFonts w:ascii="Calibri" w:hAnsi="Calibri" w:cs="Calibri"/>
          <w:bCs/>
        </w:rPr>
        <w:t>.</w:t>
      </w:r>
    </w:p>
    <w:p w14:paraId="3C0856A5" w14:textId="39AFBCB8" w:rsidR="004E0A5A" w:rsidRPr="00104174" w:rsidRDefault="004E0A5A" w:rsidP="004E0A5A">
      <w:pPr>
        <w:pStyle w:val="ListParagraph"/>
        <w:numPr>
          <w:ilvl w:val="1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Applying for local authority and social housing </w:t>
      </w:r>
      <w:r w:rsidR="002D491C">
        <w:rPr>
          <w:rFonts w:ascii="Calibri" w:hAnsi="Calibri" w:cs="Calibri"/>
          <w:bCs/>
        </w:rPr>
        <w:t xml:space="preserve">queries </w:t>
      </w:r>
      <w:r w:rsidR="005B2846">
        <w:rPr>
          <w:rFonts w:ascii="Calibri" w:hAnsi="Calibri" w:cs="Calibri"/>
          <w:bCs/>
        </w:rPr>
        <w:t>decreased</w:t>
      </w:r>
      <w:r w:rsidRPr="00104174">
        <w:rPr>
          <w:rFonts w:ascii="Calibri" w:hAnsi="Calibri" w:cs="Calibri"/>
          <w:bCs/>
        </w:rPr>
        <w:t xml:space="preserve"> by 1.5%</w:t>
      </w:r>
      <w:r w:rsidR="005B2846">
        <w:rPr>
          <w:rFonts w:ascii="Calibri" w:hAnsi="Calibri" w:cs="Calibri"/>
          <w:bCs/>
        </w:rPr>
        <w:t xml:space="preserve"> (</w:t>
      </w:r>
      <w:r w:rsidR="00E23EE6">
        <w:rPr>
          <w:rFonts w:ascii="Calibri" w:hAnsi="Calibri" w:cs="Calibri"/>
          <w:bCs/>
        </w:rPr>
        <w:t>5,262)</w:t>
      </w:r>
      <w:r w:rsidRPr="00104174">
        <w:rPr>
          <w:rFonts w:ascii="Calibri" w:hAnsi="Calibri" w:cs="Calibri"/>
          <w:bCs/>
        </w:rPr>
        <w:t>.</w:t>
      </w:r>
    </w:p>
    <w:p w14:paraId="4EBFBECE" w14:textId="1F805AD8" w:rsidR="004E0A5A" w:rsidRPr="00104174" w:rsidRDefault="004E0A5A" w:rsidP="004E0A5A">
      <w:pPr>
        <w:pStyle w:val="ListParagraph"/>
        <w:numPr>
          <w:ilvl w:val="1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Queries relating to Housing Assistance Payments</w:t>
      </w:r>
      <w:r w:rsidR="002D491C">
        <w:rPr>
          <w:rFonts w:ascii="Calibri" w:hAnsi="Calibri" w:cs="Calibri"/>
          <w:bCs/>
        </w:rPr>
        <w:t xml:space="preserve"> queries</w:t>
      </w:r>
      <w:r w:rsidRPr="00104174">
        <w:rPr>
          <w:rFonts w:ascii="Calibri" w:hAnsi="Calibri" w:cs="Calibri"/>
          <w:bCs/>
        </w:rPr>
        <w:t xml:space="preserve"> </w:t>
      </w:r>
      <w:r w:rsidR="006737D4">
        <w:rPr>
          <w:rFonts w:ascii="Calibri" w:hAnsi="Calibri" w:cs="Calibri"/>
          <w:bCs/>
        </w:rPr>
        <w:t>de</w:t>
      </w:r>
      <w:r w:rsidRPr="00104174">
        <w:rPr>
          <w:rFonts w:ascii="Calibri" w:hAnsi="Calibri" w:cs="Calibri"/>
          <w:bCs/>
        </w:rPr>
        <w:t>creased by 4.5%</w:t>
      </w:r>
      <w:r w:rsidR="00E23EE6">
        <w:rPr>
          <w:rFonts w:ascii="Calibri" w:hAnsi="Calibri" w:cs="Calibri"/>
          <w:bCs/>
        </w:rPr>
        <w:t xml:space="preserve"> (2,673)</w:t>
      </w:r>
      <w:r w:rsidRPr="00104174">
        <w:rPr>
          <w:rFonts w:ascii="Calibri" w:hAnsi="Calibri" w:cs="Calibri"/>
          <w:bCs/>
        </w:rPr>
        <w:t>.</w:t>
      </w:r>
    </w:p>
    <w:p w14:paraId="0AEF3348" w14:textId="0257F873" w:rsidR="004E0A5A" w:rsidRPr="00104174" w:rsidRDefault="004E0A5A" w:rsidP="004E0A5A">
      <w:pPr>
        <w:pStyle w:val="ListParagraph"/>
        <w:numPr>
          <w:ilvl w:val="1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Differential rent queries </w:t>
      </w:r>
      <w:r w:rsidR="00E23EE6">
        <w:rPr>
          <w:rFonts w:ascii="Calibri" w:hAnsi="Calibri" w:cs="Calibri"/>
          <w:bCs/>
        </w:rPr>
        <w:t>de</w:t>
      </w:r>
      <w:r w:rsidRPr="00104174">
        <w:rPr>
          <w:rFonts w:ascii="Calibri" w:hAnsi="Calibri" w:cs="Calibri"/>
          <w:bCs/>
        </w:rPr>
        <w:t>creased by 10.4%</w:t>
      </w:r>
      <w:r w:rsidR="00E23EE6">
        <w:rPr>
          <w:rFonts w:ascii="Calibri" w:hAnsi="Calibri" w:cs="Calibri"/>
          <w:bCs/>
        </w:rPr>
        <w:t xml:space="preserve"> (345)</w:t>
      </w:r>
      <w:r w:rsidRPr="00104174">
        <w:rPr>
          <w:rFonts w:ascii="Calibri" w:hAnsi="Calibri" w:cs="Calibri"/>
          <w:bCs/>
        </w:rPr>
        <w:t>.</w:t>
      </w:r>
      <w:r w:rsidRPr="00104174">
        <w:rPr>
          <w:rFonts w:ascii="Calibri" w:hAnsi="Calibri" w:cs="Calibri"/>
          <w:bCs/>
        </w:rPr>
        <w:br/>
      </w:r>
    </w:p>
    <w:p w14:paraId="5680E6C8" w14:textId="35A06B15" w:rsidR="004E0A5A" w:rsidRPr="00104174" w:rsidRDefault="004E0A5A" w:rsidP="004E0A5A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Housing Grants and schemes </w:t>
      </w:r>
      <w:r w:rsidR="006737D4">
        <w:rPr>
          <w:rFonts w:ascii="Calibri" w:hAnsi="Calibri" w:cs="Calibri"/>
          <w:bCs/>
        </w:rPr>
        <w:t>queries de</w:t>
      </w:r>
      <w:r w:rsidRPr="00104174">
        <w:rPr>
          <w:rFonts w:ascii="Calibri" w:hAnsi="Calibri" w:cs="Calibri"/>
          <w:bCs/>
        </w:rPr>
        <w:t>creased by 4.6%</w:t>
      </w:r>
      <w:r w:rsidR="00DD24FB">
        <w:rPr>
          <w:rFonts w:ascii="Calibri" w:hAnsi="Calibri" w:cs="Calibri"/>
          <w:bCs/>
        </w:rPr>
        <w:t xml:space="preserve"> (3,647)</w:t>
      </w:r>
      <w:r w:rsidRPr="00104174">
        <w:rPr>
          <w:rFonts w:ascii="Calibri" w:hAnsi="Calibri" w:cs="Calibri"/>
          <w:bCs/>
        </w:rPr>
        <w:t>.</w:t>
      </w:r>
      <w:r w:rsidRPr="00104174">
        <w:rPr>
          <w:rFonts w:ascii="Calibri" w:hAnsi="Calibri" w:cs="Calibri"/>
          <w:bCs/>
        </w:rPr>
        <w:br/>
      </w:r>
    </w:p>
    <w:p w14:paraId="7B4AA7C8" w14:textId="23501A5B" w:rsidR="004E0A5A" w:rsidRPr="00104174" w:rsidRDefault="004E0A5A" w:rsidP="004E0A5A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Renting a Home (Private Rental Accommodation) </w:t>
      </w:r>
      <w:r w:rsidR="002D491C">
        <w:rPr>
          <w:rFonts w:ascii="Calibri" w:hAnsi="Calibri" w:cs="Calibri"/>
          <w:bCs/>
        </w:rPr>
        <w:t xml:space="preserve">queries </w:t>
      </w:r>
      <w:r w:rsidR="00350B7D">
        <w:rPr>
          <w:rFonts w:ascii="Calibri" w:hAnsi="Calibri" w:cs="Calibri"/>
          <w:bCs/>
        </w:rPr>
        <w:t>de</w:t>
      </w:r>
      <w:r w:rsidRPr="00104174">
        <w:rPr>
          <w:rFonts w:ascii="Calibri" w:hAnsi="Calibri" w:cs="Calibri"/>
          <w:bCs/>
        </w:rPr>
        <w:t>creased by 12.7%</w:t>
      </w:r>
      <w:r w:rsidR="00DD24FB">
        <w:rPr>
          <w:rFonts w:ascii="Calibri" w:hAnsi="Calibri" w:cs="Calibri"/>
          <w:bCs/>
        </w:rPr>
        <w:t xml:space="preserve"> (2,602)</w:t>
      </w:r>
      <w:r w:rsidRPr="00104174">
        <w:rPr>
          <w:rFonts w:ascii="Calibri" w:hAnsi="Calibri" w:cs="Calibri"/>
          <w:bCs/>
        </w:rPr>
        <w:t>.</w:t>
      </w:r>
    </w:p>
    <w:p w14:paraId="39CAD5C3" w14:textId="776FEC3D" w:rsidR="004E0A5A" w:rsidRPr="00104174" w:rsidRDefault="004E0A5A" w:rsidP="004E0A5A">
      <w:pPr>
        <w:pStyle w:val="ListParagraph"/>
        <w:numPr>
          <w:ilvl w:val="1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Notices/Eviction/Disputes</w:t>
      </w:r>
      <w:r w:rsidR="002D491C">
        <w:rPr>
          <w:rFonts w:ascii="Calibri" w:hAnsi="Calibri" w:cs="Calibri"/>
          <w:bCs/>
        </w:rPr>
        <w:t xml:space="preserve"> queries</w:t>
      </w:r>
      <w:r w:rsidRPr="00104174">
        <w:rPr>
          <w:rFonts w:ascii="Calibri" w:hAnsi="Calibri" w:cs="Calibri"/>
          <w:bCs/>
        </w:rPr>
        <w:t xml:space="preserve"> </w:t>
      </w:r>
      <w:r w:rsidR="00350B7D">
        <w:rPr>
          <w:rFonts w:ascii="Calibri" w:hAnsi="Calibri" w:cs="Calibri"/>
          <w:bCs/>
        </w:rPr>
        <w:t>de</w:t>
      </w:r>
      <w:r w:rsidRPr="00104174">
        <w:rPr>
          <w:rFonts w:ascii="Calibri" w:hAnsi="Calibri" w:cs="Calibri"/>
          <w:bCs/>
        </w:rPr>
        <w:t>creased by 23.9%</w:t>
      </w:r>
      <w:r w:rsidR="003C5906">
        <w:rPr>
          <w:rFonts w:ascii="Calibri" w:hAnsi="Calibri" w:cs="Calibri"/>
          <w:bCs/>
        </w:rPr>
        <w:t xml:space="preserve"> (641)</w:t>
      </w:r>
      <w:r w:rsidR="00350B7D">
        <w:rPr>
          <w:rFonts w:ascii="Calibri" w:hAnsi="Calibri" w:cs="Calibri"/>
          <w:bCs/>
        </w:rPr>
        <w:t>.</w:t>
      </w:r>
    </w:p>
    <w:p w14:paraId="6DA60E5B" w14:textId="66818B1B" w:rsidR="004E0A5A" w:rsidRPr="00104174" w:rsidRDefault="00262804" w:rsidP="004E0A5A">
      <w:pPr>
        <w:pStyle w:val="ListParagraph"/>
        <w:numPr>
          <w:ilvl w:val="1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Residential Tenancies Board (RTB) queries </w:t>
      </w:r>
      <w:r w:rsidR="00350B7D">
        <w:rPr>
          <w:rFonts w:ascii="Calibri" w:hAnsi="Calibri" w:cs="Calibri"/>
          <w:bCs/>
        </w:rPr>
        <w:t>de</w:t>
      </w:r>
      <w:r w:rsidRPr="00104174">
        <w:rPr>
          <w:rFonts w:ascii="Calibri" w:hAnsi="Calibri" w:cs="Calibri"/>
          <w:bCs/>
        </w:rPr>
        <w:t>creased by 9.1%</w:t>
      </w:r>
      <w:r w:rsidR="003C5906">
        <w:rPr>
          <w:rFonts w:ascii="Calibri" w:hAnsi="Calibri" w:cs="Calibri"/>
          <w:bCs/>
        </w:rPr>
        <w:t xml:space="preserve"> (420)</w:t>
      </w:r>
      <w:r w:rsidRPr="00104174">
        <w:rPr>
          <w:rFonts w:ascii="Calibri" w:hAnsi="Calibri" w:cs="Calibri"/>
          <w:bCs/>
        </w:rPr>
        <w:t>.</w:t>
      </w:r>
    </w:p>
    <w:p w14:paraId="4CC22415" w14:textId="5D834430" w:rsidR="00262804" w:rsidRPr="00104174" w:rsidRDefault="008E038C" w:rsidP="004E0A5A">
      <w:pPr>
        <w:pStyle w:val="ListParagraph"/>
        <w:numPr>
          <w:ilvl w:val="1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Tenants’</w:t>
      </w:r>
      <w:r w:rsidR="00262804" w:rsidRPr="00104174">
        <w:rPr>
          <w:rFonts w:ascii="Calibri" w:hAnsi="Calibri" w:cs="Calibri"/>
          <w:bCs/>
        </w:rPr>
        <w:t xml:space="preserve"> Rights and Obligations queries </w:t>
      </w:r>
      <w:r w:rsidR="00350B7D">
        <w:rPr>
          <w:rFonts w:ascii="Calibri" w:hAnsi="Calibri" w:cs="Calibri"/>
          <w:bCs/>
        </w:rPr>
        <w:t>de</w:t>
      </w:r>
      <w:r w:rsidR="00262804" w:rsidRPr="00104174">
        <w:rPr>
          <w:rFonts w:ascii="Calibri" w:hAnsi="Calibri" w:cs="Calibri"/>
          <w:bCs/>
        </w:rPr>
        <w:t>creased by 12.8%</w:t>
      </w:r>
      <w:r w:rsidR="003C5906">
        <w:rPr>
          <w:rFonts w:ascii="Calibri" w:hAnsi="Calibri" w:cs="Calibri"/>
          <w:bCs/>
        </w:rPr>
        <w:t xml:space="preserve"> (382)</w:t>
      </w:r>
      <w:r w:rsidR="00262804" w:rsidRPr="00104174">
        <w:rPr>
          <w:rFonts w:ascii="Calibri" w:hAnsi="Calibri" w:cs="Calibri"/>
          <w:bCs/>
        </w:rPr>
        <w:t>.</w:t>
      </w:r>
    </w:p>
    <w:p w14:paraId="0608615D" w14:textId="05904325" w:rsidR="00262804" w:rsidRPr="00104174" w:rsidRDefault="00262804" w:rsidP="004E0A5A">
      <w:pPr>
        <w:pStyle w:val="ListParagraph"/>
        <w:numPr>
          <w:ilvl w:val="1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Landlords Rights and Obligations </w:t>
      </w:r>
      <w:r w:rsidR="002D491C">
        <w:rPr>
          <w:rFonts w:ascii="Calibri" w:hAnsi="Calibri" w:cs="Calibri"/>
          <w:bCs/>
        </w:rPr>
        <w:t xml:space="preserve">queries </w:t>
      </w:r>
      <w:r w:rsidR="00350B7D">
        <w:rPr>
          <w:rFonts w:ascii="Calibri" w:hAnsi="Calibri" w:cs="Calibri"/>
          <w:bCs/>
        </w:rPr>
        <w:t>de</w:t>
      </w:r>
      <w:r w:rsidRPr="00104174">
        <w:rPr>
          <w:rFonts w:ascii="Calibri" w:hAnsi="Calibri" w:cs="Calibri"/>
          <w:bCs/>
        </w:rPr>
        <w:t>creased by 11.5%</w:t>
      </w:r>
      <w:r w:rsidR="003C5906">
        <w:rPr>
          <w:rFonts w:ascii="Calibri" w:hAnsi="Calibri" w:cs="Calibri"/>
          <w:bCs/>
        </w:rPr>
        <w:t xml:space="preserve"> (</w:t>
      </w:r>
      <w:r w:rsidR="00820F45">
        <w:rPr>
          <w:rFonts w:ascii="Calibri" w:hAnsi="Calibri" w:cs="Calibri"/>
          <w:bCs/>
        </w:rPr>
        <w:t>331)</w:t>
      </w:r>
      <w:r w:rsidRPr="00104174">
        <w:rPr>
          <w:rFonts w:ascii="Calibri" w:hAnsi="Calibri" w:cs="Calibri"/>
          <w:bCs/>
        </w:rPr>
        <w:t>.</w:t>
      </w:r>
      <w:r w:rsidRPr="00104174">
        <w:rPr>
          <w:rFonts w:ascii="Calibri" w:hAnsi="Calibri" w:cs="Calibri"/>
          <w:bCs/>
        </w:rPr>
        <w:br/>
      </w:r>
    </w:p>
    <w:p w14:paraId="1CD37CB5" w14:textId="48892791" w:rsidR="00262804" w:rsidRDefault="00262804" w:rsidP="00262804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Home Energy Grants (SEAI) queries </w:t>
      </w:r>
      <w:r w:rsidR="00350B7D">
        <w:rPr>
          <w:rFonts w:ascii="Calibri" w:hAnsi="Calibri" w:cs="Calibri"/>
          <w:bCs/>
        </w:rPr>
        <w:t>in</w:t>
      </w:r>
      <w:r w:rsidRPr="00104174">
        <w:rPr>
          <w:rFonts w:ascii="Calibri" w:hAnsi="Calibri" w:cs="Calibri"/>
          <w:bCs/>
        </w:rPr>
        <w:t>creased by 14%</w:t>
      </w:r>
      <w:r w:rsidR="00820F45">
        <w:rPr>
          <w:rFonts w:ascii="Calibri" w:hAnsi="Calibri" w:cs="Calibri"/>
          <w:bCs/>
        </w:rPr>
        <w:t xml:space="preserve"> (1,683)</w:t>
      </w:r>
      <w:r w:rsidRPr="00104174">
        <w:rPr>
          <w:rFonts w:ascii="Calibri" w:hAnsi="Calibri" w:cs="Calibri"/>
          <w:bCs/>
        </w:rPr>
        <w:t>.</w:t>
      </w:r>
      <w:r w:rsidR="00820F45">
        <w:rPr>
          <w:rFonts w:ascii="Calibri" w:hAnsi="Calibri" w:cs="Calibri"/>
          <w:bCs/>
        </w:rPr>
        <w:br/>
      </w:r>
    </w:p>
    <w:p w14:paraId="64B9D765" w14:textId="35064C5D" w:rsidR="00820F45" w:rsidRDefault="00820F45" w:rsidP="00262804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Homelessness queries </w:t>
      </w:r>
      <w:r w:rsidR="00226FB6">
        <w:rPr>
          <w:rFonts w:ascii="Calibri" w:hAnsi="Calibri" w:cs="Calibri"/>
          <w:bCs/>
        </w:rPr>
        <w:t>remained at a consistent level (</w:t>
      </w:r>
      <w:r w:rsidR="00E044AD">
        <w:rPr>
          <w:rFonts w:ascii="Calibri" w:hAnsi="Calibri" w:cs="Calibri"/>
          <w:bCs/>
        </w:rPr>
        <w:t>875).</w:t>
      </w:r>
      <w:r w:rsidR="00DD42EA">
        <w:rPr>
          <w:rFonts w:ascii="Calibri" w:hAnsi="Calibri" w:cs="Calibri"/>
          <w:bCs/>
        </w:rPr>
        <w:br/>
      </w:r>
    </w:p>
    <w:p w14:paraId="685B5BD9" w14:textId="40C9036F" w:rsidR="00262804" w:rsidRPr="00DD42EA" w:rsidRDefault="00DD42EA" w:rsidP="00262804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Buying/ Owning a Home</w:t>
      </w:r>
      <w:r w:rsidR="002D491C">
        <w:rPr>
          <w:rFonts w:ascii="Calibri" w:hAnsi="Calibri" w:cs="Calibri"/>
          <w:bCs/>
        </w:rPr>
        <w:t xml:space="preserve"> queries</w:t>
      </w:r>
      <w:r>
        <w:rPr>
          <w:rFonts w:ascii="Calibri" w:hAnsi="Calibri" w:cs="Calibri"/>
          <w:bCs/>
        </w:rPr>
        <w:t xml:space="preserve"> increased by 9.6% (664).</w:t>
      </w:r>
    </w:p>
    <w:p w14:paraId="66BA001D" w14:textId="77777777" w:rsidR="00D8596B" w:rsidRDefault="00D8596B" w:rsidP="00B561A4">
      <w:pPr>
        <w:spacing w:after="0" w:line="240" w:lineRule="auto"/>
        <w:rPr>
          <w:rFonts w:ascii="Calibri" w:hAnsi="Calibri" w:cs="Calibri"/>
          <w:bCs/>
          <w:u w:val="single"/>
        </w:rPr>
      </w:pPr>
    </w:p>
    <w:p w14:paraId="6255D40B" w14:textId="1D739E26" w:rsidR="00D9081B" w:rsidRPr="00104174" w:rsidRDefault="00D9081B" w:rsidP="00B561A4">
      <w:pPr>
        <w:spacing w:after="0" w:line="240" w:lineRule="auto"/>
        <w:rPr>
          <w:rFonts w:ascii="Calibri" w:hAnsi="Calibri" w:cs="Calibri"/>
          <w:bCs/>
        </w:rPr>
      </w:pPr>
      <w:r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 xml:space="preserve">Caller </w:t>
      </w:r>
      <w:r w:rsidR="00D55652"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 xml:space="preserve">profile </w:t>
      </w:r>
      <w:r w:rsidR="00271F29"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 xml:space="preserve">data </w:t>
      </w:r>
      <w:r w:rsidRPr="00513D9F">
        <w:rPr>
          <w:rFonts w:ascii="Calibri" w:eastAsiaTheme="majorEastAsia" w:hAnsi="Calibri" w:cs="Calibri"/>
          <w:b/>
          <w:color w:val="1481AB" w:themeColor="accent1" w:themeShade="BF"/>
          <w:sz w:val="24"/>
          <w:szCs w:val="24"/>
        </w:rPr>
        <w:t>relating to Housing</w:t>
      </w:r>
      <w:r w:rsidR="00262804" w:rsidRPr="00104174">
        <w:rPr>
          <w:rFonts w:ascii="Calibri" w:hAnsi="Calibri" w:cs="Calibri"/>
          <w:bCs/>
        </w:rPr>
        <w:br/>
      </w:r>
    </w:p>
    <w:p w14:paraId="0751AED9" w14:textId="16652FBC" w:rsidR="00262804" w:rsidRPr="00104174" w:rsidRDefault="00262804" w:rsidP="00262804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42.3% of those who contacted CISs about Housing were</w:t>
      </w:r>
      <w:r w:rsidR="00D8596B">
        <w:rPr>
          <w:rFonts w:ascii="Calibri" w:hAnsi="Calibri" w:cs="Calibri"/>
          <w:bCs/>
        </w:rPr>
        <w:t xml:space="preserve"> aged</w:t>
      </w:r>
      <w:r w:rsidRPr="00104174">
        <w:rPr>
          <w:rFonts w:ascii="Calibri" w:hAnsi="Calibri" w:cs="Calibri"/>
          <w:bCs/>
        </w:rPr>
        <w:t xml:space="preserve"> 26-45.</w:t>
      </w:r>
      <w:r w:rsidR="007C3077">
        <w:rPr>
          <w:rFonts w:ascii="Calibri" w:hAnsi="Calibri" w:cs="Calibri"/>
          <w:bCs/>
        </w:rPr>
        <w:br/>
      </w:r>
    </w:p>
    <w:p w14:paraId="5E700C21" w14:textId="225517A9" w:rsidR="00266291" w:rsidRDefault="00266291" w:rsidP="00262804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53.8% of </w:t>
      </w:r>
      <w:r w:rsidR="00D8596B">
        <w:rPr>
          <w:rFonts w:ascii="Calibri" w:hAnsi="Calibri" w:cs="Calibri"/>
          <w:bCs/>
        </w:rPr>
        <w:t>those with</w:t>
      </w:r>
      <w:r w:rsidRPr="00104174">
        <w:rPr>
          <w:rFonts w:ascii="Calibri" w:hAnsi="Calibri" w:cs="Calibri"/>
          <w:bCs/>
        </w:rPr>
        <w:t xml:space="preserve"> </w:t>
      </w:r>
      <w:r w:rsidR="00265EEF">
        <w:rPr>
          <w:rFonts w:ascii="Calibri" w:hAnsi="Calibri" w:cs="Calibri"/>
          <w:bCs/>
        </w:rPr>
        <w:t>L</w:t>
      </w:r>
      <w:r w:rsidRPr="00104174">
        <w:rPr>
          <w:rFonts w:ascii="Calibri" w:hAnsi="Calibri" w:cs="Calibri"/>
          <w:bCs/>
        </w:rPr>
        <w:t xml:space="preserve">ocal </w:t>
      </w:r>
      <w:r w:rsidR="00265EEF">
        <w:rPr>
          <w:rFonts w:ascii="Calibri" w:hAnsi="Calibri" w:cs="Calibri"/>
          <w:bCs/>
        </w:rPr>
        <w:t>A</w:t>
      </w:r>
      <w:r w:rsidRPr="00104174">
        <w:rPr>
          <w:rFonts w:ascii="Calibri" w:hAnsi="Calibri" w:cs="Calibri"/>
          <w:bCs/>
        </w:rPr>
        <w:t xml:space="preserve">uthority and </w:t>
      </w:r>
      <w:r w:rsidR="00265EEF">
        <w:rPr>
          <w:rFonts w:ascii="Calibri" w:hAnsi="Calibri" w:cs="Calibri"/>
          <w:bCs/>
        </w:rPr>
        <w:t>S</w:t>
      </w:r>
      <w:r w:rsidRPr="00104174">
        <w:rPr>
          <w:rFonts w:ascii="Calibri" w:hAnsi="Calibri" w:cs="Calibri"/>
          <w:bCs/>
        </w:rPr>
        <w:t xml:space="preserve">ocial </w:t>
      </w:r>
      <w:r w:rsidR="00265EEF">
        <w:rPr>
          <w:rFonts w:ascii="Calibri" w:hAnsi="Calibri" w:cs="Calibri"/>
          <w:bCs/>
        </w:rPr>
        <w:t>H</w:t>
      </w:r>
      <w:r w:rsidRPr="00104174">
        <w:rPr>
          <w:rFonts w:ascii="Calibri" w:hAnsi="Calibri" w:cs="Calibri"/>
          <w:bCs/>
        </w:rPr>
        <w:t>ousing</w:t>
      </w:r>
      <w:r w:rsidR="00D8596B">
        <w:rPr>
          <w:rFonts w:ascii="Calibri" w:hAnsi="Calibri" w:cs="Calibri"/>
          <w:bCs/>
        </w:rPr>
        <w:t xml:space="preserve"> queries</w:t>
      </w:r>
      <w:r w:rsidR="00265EEF">
        <w:rPr>
          <w:rFonts w:ascii="Calibri" w:hAnsi="Calibri" w:cs="Calibri"/>
          <w:bCs/>
        </w:rPr>
        <w:t xml:space="preserve"> </w:t>
      </w:r>
      <w:r w:rsidR="00D8596B">
        <w:rPr>
          <w:rFonts w:ascii="Calibri" w:hAnsi="Calibri" w:cs="Calibri"/>
          <w:bCs/>
        </w:rPr>
        <w:t>were aged</w:t>
      </w:r>
      <w:r w:rsidR="00265EEF">
        <w:rPr>
          <w:rFonts w:ascii="Calibri" w:hAnsi="Calibri" w:cs="Calibri"/>
          <w:bCs/>
        </w:rPr>
        <w:t xml:space="preserve"> 26-45.</w:t>
      </w:r>
    </w:p>
    <w:p w14:paraId="49FBFE08" w14:textId="3579611F" w:rsidR="002F5455" w:rsidRDefault="002F5455" w:rsidP="002F5455">
      <w:pPr>
        <w:pStyle w:val="ListParagraph"/>
        <w:numPr>
          <w:ilvl w:val="1"/>
          <w:numId w:val="11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Applying for local authority and social housing callers came mostly from the 26-45 age group, followed by the 46-</w:t>
      </w:r>
      <w:r w:rsidR="00D8596B">
        <w:rPr>
          <w:rFonts w:ascii="Calibri" w:hAnsi="Calibri" w:cs="Calibri"/>
          <w:bCs/>
        </w:rPr>
        <w:t>65 age group</w:t>
      </w:r>
      <w:r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br/>
      </w:r>
    </w:p>
    <w:p w14:paraId="5B7C6AF3" w14:textId="6FE58511" w:rsidR="002F5455" w:rsidRDefault="002F5455" w:rsidP="002F545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54.4% of those </w:t>
      </w:r>
      <w:r w:rsidR="00D8596B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 xml:space="preserve"> Housing Grants and Schemes </w:t>
      </w:r>
      <w:r w:rsidR="00D8596B">
        <w:rPr>
          <w:rFonts w:ascii="Calibri" w:hAnsi="Calibri" w:cs="Calibri"/>
          <w:bCs/>
        </w:rPr>
        <w:t>queries were aged</w:t>
      </w:r>
      <w:r>
        <w:rPr>
          <w:rFonts w:ascii="Calibri" w:hAnsi="Calibri" w:cs="Calibri"/>
          <w:bCs/>
        </w:rPr>
        <w:t xml:space="preserve"> 66 and Over.</w:t>
      </w:r>
      <w:r>
        <w:rPr>
          <w:rFonts w:ascii="Calibri" w:hAnsi="Calibri" w:cs="Calibri"/>
          <w:bCs/>
        </w:rPr>
        <w:br/>
      </w:r>
    </w:p>
    <w:p w14:paraId="7D5E040C" w14:textId="093632A0" w:rsidR="002F5455" w:rsidRPr="00104174" w:rsidRDefault="002F5455" w:rsidP="002F545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49% of those </w:t>
      </w:r>
      <w:r w:rsidR="00D8596B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 xml:space="preserve"> Renting a Home (Private Rental Accommodation) </w:t>
      </w:r>
      <w:r w:rsidR="00D8596B">
        <w:rPr>
          <w:rFonts w:ascii="Calibri" w:hAnsi="Calibri" w:cs="Calibri"/>
          <w:bCs/>
        </w:rPr>
        <w:t>queries were aged</w:t>
      </w:r>
      <w:r>
        <w:rPr>
          <w:rFonts w:ascii="Calibri" w:hAnsi="Calibri" w:cs="Calibri"/>
          <w:bCs/>
        </w:rPr>
        <w:t xml:space="preserve"> 26-45, followed by the 46-65 age group</w:t>
      </w:r>
      <w:r w:rsidR="00D8596B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which accounted for 39.2%.</w:t>
      </w:r>
    </w:p>
    <w:p w14:paraId="04C2D34A" w14:textId="77777777" w:rsidR="00F2155D" w:rsidRDefault="00F2155D">
      <w:pPr>
        <w:spacing w:line="259" w:lineRule="auto"/>
        <w:rPr>
          <w:b/>
          <w:sz w:val="24"/>
          <w:szCs w:val="24"/>
        </w:rPr>
        <w:sectPr w:rsidR="00F2155D" w:rsidSect="00F2155D">
          <w:pgSz w:w="11906" w:h="16838"/>
          <w:pgMar w:top="1440" w:right="992" w:bottom="1440" w:left="425" w:header="709" w:footer="709" w:gutter="0"/>
          <w:cols w:space="708"/>
          <w:docGrid w:linePitch="360"/>
        </w:sectPr>
      </w:pPr>
    </w:p>
    <w:p w14:paraId="7C1B95FC" w14:textId="5A1901E6" w:rsidR="00F14F7A" w:rsidRPr="00D1156A" w:rsidRDefault="00B60276" w:rsidP="00D1156A">
      <w:pPr>
        <w:pStyle w:val="Heading3"/>
        <w:rPr>
          <w:sz w:val="28"/>
          <w:szCs w:val="28"/>
        </w:rPr>
      </w:pPr>
      <w:r w:rsidRPr="00D1156A">
        <w:rPr>
          <w:sz w:val="28"/>
          <w:szCs w:val="28"/>
        </w:rPr>
        <w:lastRenderedPageBreak/>
        <w:t xml:space="preserve">Table </w:t>
      </w:r>
      <w:r w:rsidR="006659D6">
        <w:rPr>
          <w:sz w:val="28"/>
          <w:szCs w:val="28"/>
        </w:rPr>
        <w:t>12</w:t>
      </w:r>
      <w:r w:rsidRPr="00D1156A">
        <w:rPr>
          <w:sz w:val="28"/>
          <w:szCs w:val="28"/>
        </w:rPr>
        <w:t xml:space="preserve"> – Housing Quer</w:t>
      </w:r>
      <w:r w:rsidR="00115404" w:rsidRPr="00D1156A">
        <w:rPr>
          <w:sz w:val="28"/>
          <w:szCs w:val="28"/>
        </w:rPr>
        <w:t>ies</w:t>
      </w:r>
      <w:r w:rsidRPr="00D1156A">
        <w:rPr>
          <w:sz w:val="28"/>
          <w:szCs w:val="28"/>
        </w:rPr>
        <w:t xml:space="preserve"> Breakdown</w:t>
      </w:r>
    </w:p>
    <w:tbl>
      <w:tblPr>
        <w:tblStyle w:val="GridTable5Dark-Accent6"/>
        <w:tblW w:w="5000" w:type="pct"/>
        <w:tblLook w:val="04A0" w:firstRow="1" w:lastRow="0" w:firstColumn="1" w:lastColumn="0" w:noHBand="0" w:noVBand="1"/>
      </w:tblPr>
      <w:tblGrid>
        <w:gridCol w:w="9960"/>
        <w:gridCol w:w="2116"/>
        <w:gridCol w:w="1872"/>
      </w:tblGrid>
      <w:tr w:rsidR="004F4832" w:rsidRPr="00104174" w14:paraId="3AE563E6" w14:textId="77777777" w:rsidTr="00502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hideMark/>
          </w:tcPr>
          <w:p w14:paraId="2B14CE58" w14:textId="03A64B38" w:rsidR="004F4832" w:rsidRPr="00104174" w:rsidRDefault="007D5179" w:rsidP="00C178D7">
            <w:pPr>
              <w:tabs>
                <w:tab w:val="left" w:pos="567"/>
              </w:tabs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Housing</w:t>
            </w:r>
            <w:r w:rsidR="004F4832" w:rsidRPr="001041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759" w:type="pct"/>
            <w:hideMark/>
          </w:tcPr>
          <w:p w14:paraId="583CD89D" w14:textId="77777777" w:rsidR="004F4832" w:rsidRPr="00104174" w:rsidRDefault="004F4832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670" w:type="pct"/>
            <w:hideMark/>
          </w:tcPr>
          <w:p w14:paraId="314EE64A" w14:textId="77777777" w:rsidR="004F4832" w:rsidRPr="00104174" w:rsidRDefault="004F4832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% of Housing Sub-category</w:t>
            </w:r>
          </w:p>
        </w:tc>
      </w:tr>
      <w:tr w:rsidR="000215F6" w:rsidRPr="00104174" w14:paraId="6738FF7F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A19B4C7" w14:textId="74FD4F80" w:rsidR="000215F6" w:rsidRPr="00104174" w:rsidRDefault="000215F6" w:rsidP="0050261C">
            <w:pPr>
              <w:tabs>
                <w:tab w:val="left" w:pos="240"/>
                <w:tab w:val="right" w:pos="7547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ab/>
            </w:r>
            <w:r w:rsidRPr="006659D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Local Authority and Social Housing</w:t>
            </w:r>
            <w:r w:rsidRPr="00B73EEF">
              <w:rPr>
                <w:rFonts w:ascii="Calibri" w:eastAsia="Times New Roman" w:hAnsi="Calibri" w:cs="Calibri"/>
                <w:color w:val="141719" w:themeColor="background2" w:themeShade="1A"/>
                <w:lang w:eastAsia="en-IE"/>
              </w:rPr>
              <w:t xml:space="preserve"> </w:t>
            </w:r>
            <w:r w:rsidR="0050261C">
              <w:rPr>
                <w:rFonts w:ascii="Calibri" w:eastAsia="Times New Roman" w:hAnsi="Calibri" w:cs="Calibri"/>
                <w:color w:val="141719" w:themeColor="background2" w:themeShade="1A"/>
                <w:lang w:eastAsia="en-IE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        </w:t>
            </w:r>
            <w:r w:rsid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               </w:t>
            </w:r>
            <w:r w:rsidR="0012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50.1%</w:t>
            </w:r>
          </w:p>
        </w:tc>
      </w:tr>
      <w:tr w:rsidR="004F4832" w:rsidRPr="00104174" w14:paraId="0BF4E1E4" w14:textId="77777777" w:rsidTr="0050261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48A45182" w14:textId="77777777" w:rsidR="004F4832" w:rsidRPr="00104174" w:rsidRDefault="004F4832" w:rsidP="000F1F5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759" w:type="pct"/>
            <w:noWrap/>
            <w:hideMark/>
          </w:tcPr>
          <w:p w14:paraId="62D7D4CC" w14:textId="4994178F" w:rsidR="004F4832" w:rsidRPr="00104174" w:rsidRDefault="004F483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5,262</w:t>
            </w:r>
          </w:p>
        </w:tc>
        <w:tc>
          <w:tcPr>
            <w:tcW w:w="670" w:type="pct"/>
            <w:noWrap/>
            <w:hideMark/>
          </w:tcPr>
          <w:p w14:paraId="0D0B7785" w14:textId="3A68D2D8" w:rsidR="004F4832" w:rsidRPr="00104174" w:rsidRDefault="004F483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48.7%</w:t>
            </w:r>
          </w:p>
        </w:tc>
      </w:tr>
      <w:tr w:rsidR="004F4832" w:rsidRPr="00104174" w14:paraId="751B9292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3E0A715B" w14:textId="77777777" w:rsidR="004F4832" w:rsidRPr="00104174" w:rsidRDefault="004F4832" w:rsidP="000F1F5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759" w:type="pct"/>
            <w:noWrap/>
            <w:hideMark/>
          </w:tcPr>
          <w:p w14:paraId="31AB7285" w14:textId="2E02EDFE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2,673</w:t>
            </w:r>
          </w:p>
        </w:tc>
        <w:tc>
          <w:tcPr>
            <w:tcW w:w="670" w:type="pct"/>
            <w:noWrap/>
            <w:hideMark/>
          </w:tcPr>
          <w:p w14:paraId="19553694" w14:textId="394DCF17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24.8%</w:t>
            </w:r>
          </w:p>
        </w:tc>
      </w:tr>
      <w:tr w:rsidR="004F4832" w:rsidRPr="00104174" w14:paraId="01047D28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3621FC20" w14:textId="77777777" w:rsidR="004F4832" w:rsidRPr="00104174" w:rsidRDefault="004F4832" w:rsidP="000F1F5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759" w:type="pct"/>
            <w:noWrap/>
            <w:hideMark/>
          </w:tcPr>
          <w:p w14:paraId="50D22F84" w14:textId="5D41A1C9" w:rsidR="004F4832" w:rsidRPr="00104174" w:rsidRDefault="004F483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701</w:t>
            </w:r>
          </w:p>
        </w:tc>
        <w:tc>
          <w:tcPr>
            <w:tcW w:w="670" w:type="pct"/>
            <w:noWrap/>
            <w:hideMark/>
          </w:tcPr>
          <w:p w14:paraId="2A75B744" w14:textId="54378942" w:rsidR="004F4832" w:rsidRPr="00104174" w:rsidRDefault="004F4832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6.5%</w:t>
            </w:r>
          </w:p>
        </w:tc>
      </w:tr>
      <w:tr w:rsidR="004F4832" w:rsidRPr="00104174" w14:paraId="782A089B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07C6641C" w14:textId="77777777" w:rsidR="004F4832" w:rsidRPr="00104174" w:rsidRDefault="004F4832" w:rsidP="000F1F5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759" w:type="pct"/>
            <w:noWrap/>
            <w:hideMark/>
          </w:tcPr>
          <w:p w14:paraId="60FB44FF" w14:textId="2AD48B3C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345</w:t>
            </w:r>
          </w:p>
        </w:tc>
        <w:tc>
          <w:tcPr>
            <w:tcW w:w="670" w:type="pct"/>
            <w:noWrap/>
            <w:hideMark/>
          </w:tcPr>
          <w:p w14:paraId="2292E363" w14:textId="6EF78E79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3.2%</w:t>
            </w:r>
          </w:p>
        </w:tc>
      </w:tr>
      <w:tr w:rsidR="004F4832" w:rsidRPr="00104174" w14:paraId="7D8E1214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4D0D5DB2" w14:textId="72B81B79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Priority</w:t>
            </w:r>
          </w:p>
        </w:tc>
        <w:tc>
          <w:tcPr>
            <w:tcW w:w="759" w:type="pct"/>
            <w:noWrap/>
          </w:tcPr>
          <w:p w14:paraId="14D050EE" w14:textId="68ABA64F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251</w:t>
            </w:r>
          </w:p>
        </w:tc>
        <w:tc>
          <w:tcPr>
            <w:tcW w:w="670" w:type="pct"/>
            <w:noWrap/>
          </w:tcPr>
          <w:p w14:paraId="16BD7715" w14:textId="3C4043CF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2.3%</w:t>
            </w:r>
          </w:p>
        </w:tc>
      </w:tr>
      <w:tr w:rsidR="004F4832" w:rsidRPr="00104174" w14:paraId="40C0DBB0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0FFB8BDC" w14:textId="77777777" w:rsidR="004F4832" w:rsidRPr="00104174" w:rsidRDefault="004F4832" w:rsidP="000F1F5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759" w:type="pct"/>
            <w:noWrap/>
            <w:hideMark/>
          </w:tcPr>
          <w:p w14:paraId="40311EEF" w14:textId="33F2AEE2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241</w:t>
            </w:r>
          </w:p>
        </w:tc>
        <w:tc>
          <w:tcPr>
            <w:tcW w:w="670" w:type="pct"/>
            <w:noWrap/>
            <w:hideMark/>
          </w:tcPr>
          <w:p w14:paraId="377C9084" w14:textId="7F20655D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F4832" w:rsidRPr="00104174" w14:paraId="0591D0A3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16FEA4BF" w14:textId="482EC64F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Approved Housing Bodies (AHBs)</w:t>
            </w:r>
          </w:p>
        </w:tc>
        <w:tc>
          <w:tcPr>
            <w:tcW w:w="759" w:type="pct"/>
            <w:noWrap/>
          </w:tcPr>
          <w:p w14:paraId="4202F0FA" w14:textId="08D68D64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192</w:t>
            </w:r>
          </w:p>
        </w:tc>
        <w:tc>
          <w:tcPr>
            <w:tcW w:w="670" w:type="pct"/>
            <w:noWrap/>
          </w:tcPr>
          <w:p w14:paraId="05E38C80" w14:textId="538CE1B9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1.8%</w:t>
            </w:r>
          </w:p>
        </w:tc>
      </w:tr>
      <w:tr w:rsidR="004F4832" w:rsidRPr="00104174" w14:paraId="50AD2781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583920BF" w14:textId="1551D586" w:rsidR="004F4832" w:rsidRPr="00104174" w:rsidRDefault="004F4832" w:rsidP="000F1F5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759" w:type="pct"/>
            <w:noWrap/>
            <w:hideMark/>
          </w:tcPr>
          <w:p w14:paraId="22AA3494" w14:textId="45761034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188</w:t>
            </w:r>
          </w:p>
        </w:tc>
        <w:tc>
          <w:tcPr>
            <w:tcW w:w="670" w:type="pct"/>
            <w:noWrap/>
            <w:hideMark/>
          </w:tcPr>
          <w:p w14:paraId="76AFC889" w14:textId="237D92E3" w:rsidR="004F4832" w:rsidRPr="00104174" w:rsidRDefault="004F4832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1.7%</w:t>
            </w:r>
          </w:p>
        </w:tc>
      </w:tr>
      <w:tr w:rsidR="004F4832" w:rsidRPr="00104174" w14:paraId="2DB5FDA1" w14:textId="77777777" w:rsidTr="0050261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4AFC6DC7" w14:textId="241B0E2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759" w:type="pct"/>
            <w:noWrap/>
          </w:tcPr>
          <w:p w14:paraId="510C5A56" w14:textId="1498D52C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165</w:t>
            </w:r>
          </w:p>
        </w:tc>
        <w:tc>
          <w:tcPr>
            <w:tcW w:w="670" w:type="pct"/>
            <w:noWrap/>
          </w:tcPr>
          <w:p w14:paraId="61F2766C" w14:textId="4A15450A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1.5%</w:t>
            </w:r>
          </w:p>
        </w:tc>
      </w:tr>
      <w:tr w:rsidR="004F4832" w:rsidRPr="00104174" w14:paraId="3249832C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2D8B4628" w14:textId="1F450D5B" w:rsidR="004F4832" w:rsidRPr="00104174" w:rsidRDefault="004F4832" w:rsidP="0028323B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Housing Waiting Lists</w:t>
            </w:r>
          </w:p>
        </w:tc>
        <w:tc>
          <w:tcPr>
            <w:tcW w:w="759" w:type="pct"/>
            <w:noWrap/>
          </w:tcPr>
          <w:p w14:paraId="530F2BD8" w14:textId="132C86EF" w:rsidR="004F4832" w:rsidRPr="00104174" w:rsidRDefault="004F4832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162</w:t>
            </w:r>
          </w:p>
        </w:tc>
        <w:tc>
          <w:tcPr>
            <w:tcW w:w="670" w:type="pct"/>
            <w:noWrap/>
          </w:tcPr>
          <w:p w14:paraId="0811E9F8" w14:textId="02AD82CC" w:rsidR="004F4832" w:rsidRPr="00104174" w:rsidRDefault="004F4832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1.5%</w:t>
            </w:r>
          </w:p>
        </w:tc>
      </w:tr>
      <w:tr w:rsidR="004F4832" w:rsidRPr="00104174" w14:paraId="1CC067A6" w14:textId="77777777" w:rsidTr="0050261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44FE2399" w14:textId="1B8F5CF5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759" w:type="pct"/>
            <w:noWrap/>
          </w:tcPr>
          <w:p w14:paraId="64A86F5C" w14:textId="7C033C84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129</w:t>
            </w:r>
          </w:p>
        </w:tc>
        <w:tc>
          <w:tcPr>
            <w:tcW w:w="670" w:type="pct"/>
            <w:noWrap/>
          </w:tcPr>
          <w:p w14:paraId="2CC500E7" w14:textId="5AA9A708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1.2%</w:t>
            </w:r>
          </w:p>
        </w:tc>
      </w:tr>
      <w:tr w:rsidR="004F4832" w:rsidRPr="00104174" w14:paraId="58EA41ED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332478FB" w14:textId="6EF58DD8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759" w:type="pct"/>
            <w:noWrap/>
          </w:tcPr>
          <w:p w14:paraId="19420F7A" w14:textId="0F31790D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124</w:t>
            </w:r>
          </w:p>
        </w:tc>
        <w:tc>
          <w:tcPr>
            <w:tcW w:w="670" w:type="pct"/>
            <w:noWrap/>
          </w:tcPr>
          <w:p w14:paraId="16586A14" w14:textId="41F50AA4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1.2%</w:t>
            </w:r>
          </w:p>
        </w:tc>
      </w:tr>
      <w:tr w:rsidR="004F4832" w:rsidRPr="00104174" w14:paraId="58B7BBEC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55222055" w14:textId="539A7C46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 in situ (HAP/RAS)</w:t>
            </w:r>
          </w:p>
        </w:tc>
        <w:tc>
          <w:tcPr>
            <w:tcW w:w="759" w:type="pct"/>
            <w:noWrap/>
          </w:tcPr>
          <w:p w14:paraId="193F37B2" w14:textId="58797838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105</w:t>
            </w:r>
          </w:p>
        </w:tc>
        <w:tc>
          <w:tcPr>
            <w:tcW w:w="670" w:type="pct"/>
            <w:noWrap/>
          </w:tcPr>
          <w:p w14:paraId="294860D6" w14:textId="33F2B919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1.0%</w:t>
            </w:r>
          </w:p>
        </w:tc>
      </w:tr>
      <w:tr w:rsidR="004F4832" w:rsidRPr="00104174" w14:paraId="0F025968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11DA605C" w14:textId="3A005609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759" w:type="pct"/>
            <w:noWrap/>
          </w:tcPr>
          <w:p w14:paraId="01AF63CC" w14:textId="793AEC80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</w:t>
            </w:r>
          </w:p>
        </w:tc>
        <w:tc>
          <w:tcPr>
            <w:tcW w:w="670" w:type="pct"/>
            <w:noWrap/>
          </w:tcPr>
          <w:p w14:paraId="40942954" w14:textId="01316173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0.8%</w:t>
            </w:r>
          </w:p>
        </w:tc>
      </w:tr>
      <w:tr w:rsidR="004F4832" w:rsidRPr="00104174" w14:paraId="72E2093B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2174461D" w14:textId="7F53D84C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Anti-social behaviour</w:t>
            </w:r>
          </w:p>
        </w:tc>
        <w:tc>
          <w:tcPr>
            <w:tcW w:w="759" w:type="pct"/>
            <w:noWrap/>
          </w:tcPr>
          <w:p w14:paraId="04B27ECF" w14:textId="3C1D5D51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</w:t>
            </w:r>
          </w:p>
        </w:tc>
        <w:tc>
          <w:tcPr>
            <w:tcW w:w="670" w:type="pct"/>
            <w:noWrap/>
          </w:tcPr>
          <w:p w14:paraId="4EB78E7C" w14:textId="6C86EF57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0.7%</w:t>
            </w:r>
          </w:p>
        </w:tc>
      </w:tr>
      <w:tr w:rsidR="004F4832" w:rsidRPr="00104174" w14:paraId="61D00D96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4E2971DE" w14:textId="096E95D6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759" w:type="pct"/>
            <w:noWrap/>
          </w:tcPr>
          <w:p w14:paraId="27023A2D" w14:textId="608F6BC0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68</w:t>
            </w:r>
          </w:p>
        </w:tc>
        <w:tc>
          <w:tcPr>
            <w:tcW w:w="670" w:type="pct"/>
            <w:noWrap/>
          </w:tcPr>
          <w:p w14:paraId="1B7E92BD" w14:textId="30E5FC77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F4832" w:rsidRPr="00104174" w14:paraId="6A36EED7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3ED887FA" w14:textId="2138A7B4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Tenancy Succession</w:t>
            </w:r>
          </w:p>
        </w:tc>
        <w:tc>
          <w:tcPr>
            <w:tcW w:w="759" w:type="pct"/>
            <w:noWrap/>
          </w:tcPr>
          <w:p w14:paraId="13E54FD3" w14:textId="62DF1807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70" w:type="pct"/>
            <w:noWrap/>
          </w:tcPr>
          <w:p w14:paraId="5F340880" w14:textId="531C1D15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</w:tr>
      <w:tr w:rsidR="004F4832" w:rsidRPr="00104174" w14:paraId="0B31E1A5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7F1E9FB7" w14:textId="6DF9F281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Traveller Accommodation</w:t>
            </w:r>
          </w:p>
        </w:tc>
        <w:tc>
          <w:tcPr>
            <w:tcW w:w="759" w:type="pct"/>
            <w:noWrap/>
          </w:tcPr>
          <w:p w14:paraId="54E223B1" w14:textId="2F109B0C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70" w:type="pct"/>
            <w:noWrap/>
          </w:tcPr>
          <w:p w14:paraId="02803304" w14:textId="4D49E029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4F4832" w:rsidRPr="00104174" w14:paraId="43B32764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50765DA6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  <w:hideMark/>
          </w:tcPr>
          <w:p w14:paraId="67F37F65" w14:textId="2F64C290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10,797</w:t>
            </w:r>
          </w:p>
        </w:tc>
        <w:tc>
          <w:tcPr>
            <w:tcW w:w="670" w:type="pct"/>
            <w:noWrap/>
            <w:hideMark/>
          </w:tcPr>
          <w:p w14:paraId="036B3A95" w14:textId="63D7289D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121837" w:rsidRPr="00104174" w14:paraId="7F0A9134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6EB70A14" w14:textId="30763F80" w:rsidR="00121837" w:rsidRPr="00104174" w:rsidRDefault="00121837" w:rsidP="006B59EF">
            <w:pPr>
              <w:tabs>
                <w:tab w:val="left" w:pos="225"/>
                <w:tab w:val="right" w:pos="7547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ab/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Housing Grants and Schemes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6B5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16.9%</w:t>
            </w:r>
          </w:p>
        </w:tc>
      </w:tr>
      <w:tr w:rsidR="004F4832" w:rsidRPr="00104174" w14:paraId="4DF0D1B4" w14:textId="77777777" w:rsidTr="0050261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5CD29449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759" w:type="pct"/>
            <w:noWrap/>
            <w:hideMark/>
          </w:tcPr>
          <w:p w14:paraId="158F94CE" w14:textId="68F8616B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3,647</w:t>
            </w:r>
          </w:p>
        </w:tc>
        <w:tc>
          <w:tcPr>
            <w:tcW w:w="670" w:type="pct"/>
            <w:noWrap/>
            <w:hideMark/>
          </w:tcPr>
          <w:p w14:paraId="404C65F9" w14:textId="46F4257F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6EA21EE5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30B0CA22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  <w:hideMark/>
          </w:tcPr>
          <w:p w14:paraId="09473C84" w14:textId="27503CC2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3,647</w:t>
            </w:r>
          </w:p>
        </w:tc>
        <w:tc>
          <w:tcPr>
            <w:tcW w:w="670" w:type="pct"/>
            <w:noWrap/>
            <w:hideMark/>
          </w:tcPr>
          <w:p w14:paraId="0CE95658" w14:textId="503E0B7E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B59EF" w:rsidRPr="00104174" w14:paraId="74C788F4" w14:textId="77777777" w:rsidTr="006659D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2C347DB6" w14:textId="24F42140" w:rsidR="006B59EF" w:rsidRPr="00104174" w:rsidRDefault="006B59EF" w:rsidP="006B59EF">
            <w:pPr>
              <w:tabs>
                <w:tab w:val="left" w:pos="180"/>
                <w:tab w:val="right" w:pos="7547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ab/>
            </w: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Renting a Home (Private Rental </w:t>
            </w:r>
            <w:proofErr w:type="gramStart"/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Accommodation)</w:t>
            </w:r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</w:t>
            </w:r>
            <w:proofErr w:type="gramEnd"/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</w:t>
            </w:r>
            <w:r w:rsidR="00502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12.1%</w:t>
            </w:r>
          </w:p>
        </w:tc>
      </w:tr>
      <w:tr w:rsidR="004F4832" w:rsidRPr="00104174" w14:paraId="0DC726BC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69F18077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759" w:type="pct"/>
            <w:noWrap/>
            <w:hideMark/>
          </w:tcPr>
          <w:p w14:paraId="70DA3AE8" w14:textId="08D671E4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641</w:t>
            </w:r>
          </w:p>
        </w:tc>
        <w:tc>
          <w:tcPr>
            <w:tcW w:w="670" w:type="pct"/>
            <w:noWrap/>
            <w:hideMark/>
          </w:tcPr>
          <w:p w14:paraId="7F12C2C6" w14:textId="47294C39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24.6%</w:t>
            </w:r>
          </w:p>
        </w:tc>
      </w:tr>
      <w:tr w:rsidR="004F4832" w:rsidRPr="00104174" w14:paraId="3997EA38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2866D11C" w14:textId="676AB724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759" w:type="pct"/>
            <w:noWrap/>
          </w:tcPr>
          <w:p w14:paraId="0B70E10A" w14:textId="6E24A255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420</w:t>
            </w:r>
          </w:p>
        </w:tc>
        <w:tc>
          <w:tcPr>
            <w:tcW w:w="670" w:type="pct"/>
            <w:noWrap/>
          </w:tcPr>
          <w:p w14:paraId="0475E326" w14:textId="6F128025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16.1%</w:t>
            </w:r>
          </w:p>
        </w:tc>
      </w:tr>
      <w:tr w:rsidR="004F4832" w:rsidRPr="00104174" w14:paraId="5BF7A5B5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3F8A75C7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759" w:type="pct"/>
            <w:noWrap/>
            <w:hideMark/>
          </w:tcPr>
          <w:p w14:paraId="3DD5299C" w14:textId="5DD383CB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382</w:t>
            </w:r>
          </w:p>
        </w:tc>
        <w:tc>
          <w:tcPr>
            <w:tcW w:w="670" w:type="pct"/>
            <w:noWrap/>
            <w:hideMark/>
          </w:tcPr>
          <w:p w14:paraId="35AA291A" w14:textId="61E9995A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14.7%</w:t>
            </w:r>
          </w:p>
        </w:tc>
      </w:tr>
      <w:tr w:rsidR="004F4832" w:rsidRPr="00104174" w14:paraId="04F4A650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2D316CE1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759" w:type="pct"/>
            <w:noWrap/>
            <w:hideMark/>
          </w:tcPr>
          <w:p w14:paraId="5C2AC94E" w14:textId="534035BD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331</w:t>
            </w:r>
          </w:p>
        </w:tc>
        <w:tc>
          <w:tcPr>
            <w:tcW w:w="670" w:type="pct"/>
            <w:noWrap/>
            <w:hideMark/>
          </w:tcPr>
          <w:p w14:paraId="70799FCE" w14:textId="65417802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12.7%</w:t>
            </w:r>
          </w:p>
        </w:tc>
      </w:tr>
      <w:tr w:rsidR="004F4832" w:rsidRPr="00104174" w14:paraId="33C8FFF0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560C2D90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759" w:type="pct"/>
            <w:noWrap/>
            <w:hideMark/>
          </w:tcPr>
          <w:p w14:paraId="2C3CD072" w14:textId="5F15AEA9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212</w:t>
            </w:r>
          </w:p>
        </w:tc>
        <w:tc>
          <w:tcPr>
            <w:tcW w:w="670" w:type="pct"/>
            <w:noWrap/>
            <w:hideMark/>
          </w:tcPr>
          <w:p w14:paraId="341564CE" w14:textId="21B2BD37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8.2%</w:t>
            </w:r>
          </w:p>
        </w:tc>
      </w:tr>
      <w:tr w:rsidR="004F4832" w:rsidRPr="00104174" w14:paraId="521918AE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7565E35D" w14:textId="2A5FA910" w:rsidR="004F4832" w:rsidRPr="00104174" w:rsidRDefault="004F4832" w:rsidP="00F85BC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lastRenderedPageBreak/>
              <w:t>Finding Accommodation</w:t>
            </w:r>
          </w:p>
        </w:tc>
        <w:tc>
          <w:tcPr>
            <w:tcW w:w="759" w:type="pct"/>
            <w:noWrap/>
          </w:tcPr>
          <w:p w14:paraId="60D06137" w14:textId="5D40352F" w:rsidR="004F4832" w:rsidRPr="00104174" w:rsidRDefault="004F4832" w:rsidP="00F85B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137</w:t>
            </w:r>
          </w:p>
        </w:tc>
        <w:tc>
          <w:tcPr>
            <w:tcW w:w="670" w:type="pct"/>
            <w:noWrap/>
          </w:tcPr>
          <w:p w14:paraId="352E73B1" w14:textId="34F6706F" w:rsidR="004F4832" w:rsidRPr="00104174" w:rsidRDefault="004F4832" w:rsidP="00F85B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5.3%</w:t>
            </w:r>
          </w:p>
        </w:tc>
      </w:tr>
      <w:tr w:rsidR="004F4832" w:rsidRPr="00104174" w14:paraId="18A3CCBA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03E4499E" w14:textId="30BC3B60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759" w:type="pct"/>
            <w:noWrap/>
          </w:tcPr>
          <w:p w14:paraId="67E8D204" w14:textId="7379A0B3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670" w:type="pct"/>
            <w:noWrap/>
          </w:tcPr>
          <w:p w14:paraId="69CDD651" w14:textId="669C36F9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4.3%</w:t>
            </w:r>
          </w:p>
        </w:tc>
      </w:tr>
      <w:tr w:rsidR="004F4832" w:rsidRPr="00104174" w14:paraId="78340BC3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74F9B8E2" w14:textId="5E4E1F69" w:rsidR="004F4832" w:rsidRPr="00104174" w:rsidRDefault="004F4832" w:rsidP="00F85BC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759" w:type="pct"/>
            <w:noWrap/>
          </w:tcPr>
          <w:p w14:paraId="2B369AF5" w14:textId="4935B2D7" w:rsidR="004F4832" w:rsidRPr="00104174" w:rsidRDefault="004F4832" w:rsidP="00F85B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670" w:type="pct"/>
            <w:noWrap/>
          </w:tcPr>
          <w:p w14:paraId="68E36F5C" w14:textId="18B48412" w:rsidR="004F4832" w:rsidRPr="00104174" w:rsidRDefault="004F4832" w:rsidP="00F85B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4.0%</w:t>
            </w:r>
          </w:p>
        </w:tc>
      </w:tr>
      <w:tr w:rsidR="004F4832" w:rsidRPr="00104174" w14:paraId="46E19A1F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69F60AED" w14:textId="608A740D" w:rsidR="004F4832" w:rsidRPr="00104174" w:rsidRDefault="004F4832" w:rsidP="00F85BC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759" w:type="pct"/>
            <w:noWrap/>
          </w:tcPr>
          <w:p w14:paraId="1F0E18BE" w14:textId="12FDA57F" w:rsidR="004F4832" w:rsidRPr="00104174" w:rsidRDefault="004F4832" w:rsidP="00F85B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670" w:type="pct"/>
            <w:noWrap/>
          </w:tcPr>
          <w:p w14:paraId="7AD7E10D" w14:textId="74F9F6F6" w:rsidR="004F4832" w:rsidRPr="00104174" w:rsidRDefault="004F4832" w:rsidP="00F85B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3.8%</w:t>
            </w:r>
          </w:p>
        </w:tc>
      </w:tr>
      <w:tr w:rsidR="004F4832" w:rsidRPr="00104174" w14:paraId="6D3BEA16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3A039B0A" w14:textId="4F828677" w:rsidR="004F4832" w:rsidRPr="00104174" w:rsidRDefault="004F4832" w:rsidP="00F85BC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Licensee</w:t>
            </w:r>
          </w:p>
        </w:tc>
        <w:tc>
          <w:tcPr>
            <w:tcW w:w="759" w:type="pct"/>
            <w:noWrap/>
          </w:tcPr>
          <w:p w14:paraId="375F99F0" w14:textId="20995F73" w:rsidR="004F4832" w:rsidRPr="00104174" w:rsidRDefault="004F4832" w:rsidP="00F85B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81</w:t>
            </w:r>
          </w:p>
        </w:tc>
        <w:tc>
          <w:tcPr>
            <w:tcW w:w="670" w:type="pct"/>
            <w:noWrap/>
          </w:tcPr>
          <w:p w14:paraId="69A154B7" w14:textId="61BD496E" w:rsidR="004F4832" w:rsidRPr="00104174" w:rsidRDefault="004F4832" w:rsidP="00F85BC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3.1%</w:t>
            </w:r>
          </w:p>
        </w:tc>
      </w:tr>
      <w:tr w:rsidR="004F4832" w:rsidRPr="00104174" w14:paraId="0A6CC0E8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1B00764F" w14:textId="5E7EF8D0" w:rsidR="004F4832" w:rsidRPr="00104174" w:rsidRDefault="004F4832" w:rsidP="00F85BC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Cost Rental</w:t>
            </w:r>
          </w:p>
        </w:tc>
        <w:tc>
          <w:tcPr>
            <w:tcW w:w="759" w:type="pct"/>
            <w:noWrap/>
          </w:tcPr>
          <w:p w14:paraId="7BC78279" w14:textId="48182651" w:rsidR="004F4832" w:rsidRPr="00104174" w:rsidRDefault="004F4832" w:rsidP="00F85B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670" w:type="pct"/>
            <w:noWrap/>
          </w:tcPr>
          <w:p w14:paraId="2FE54AA1" w14:textId="068FE5F1" w:rsidR="004F4832" w:rsidRPr="00104174" w:rsidRDefault="004F4832" w:rsidP="00F85B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1.8%</w:t>
            </w:r>
          </w:p>
        </w:tc>
      </w:tr>
      <w:tr w:rsidR="004F4832" w:rsidRPr="00104174" w14:paraId="4ADB3AE2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48EB6082" w14:textId="1736B360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Short-term rental lets</w:t>
            </w:r>
          </w:p>
        </w:tc>
        <w:tc>
          <w:tcPr>
            <w:tcW w:w="759" w:type="pct"/>
            <w:noWrap/>
          </w:tcPr>
          <w:p w14:paraId="08E23E36" w14:textId="57250506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</w:t>
            </w:r>
          </w:p>
        </w:tc>
        <w:tc>
          <w:tcPr>
            <w:tcW w:w="670" w:type="pct"/>
            <w:noWrap/>
          </w:tcPr>
          <w:p w14:paraId="6A794F11" w14:textId="16D5B529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4F4832" w:rsidRPr="00104174" w14:paraId="452A723C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1118FBBF" w14:textId="68E8F16A" w:rsidR="004F4832" w:rsidRPr="00104174" w:rsidRDefault="004F4832" w:rsidP="00F85BC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Non-Resident Landlords (Withholding Tax)</w:t>
            </w:r>
          </w:p>
        </w:tc>
        <w:tc>
          <w:tcPr>
            <w:tcW w:w="759" w:type="pct"/>
            <w:noWrap/>
          </w:tcPr>
          <w:p w14:paraId="067E7B1F" w14:textId="20C41E9C" w:rsidR="004F4832" w:rsidRPr="00104174" w:rsidRDefault="004F4832" w:rsidP="00F85B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70" w:type="pct"/>
            <w:noWrap/>
          </w:tcPr>
          <w:p w14:paraId="3D461899" w14:textId="04A018E4" w:rsidR="004F4832" w:rsidRPr="00104174" w:rsidRDefault="004F4832" w:rsidP="00F85B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</w:tr>
      <w:tr w:rsidR="004F4832" w:rsidRPr="00104174" w14:paraId="0E4EBA3B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26A43459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  <w:hideMark/>
          </w:tcPr>
          <w:p w14:paraId="0479074A" w14:textId="40B1C14A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2,602</w:t>
            </w:r>
          </w:p>
        </w:tc>
        <w:tc>
          <w:tcPr>
            <w:tcW w:w="670" w:type="pct"/>
            <w:noWrap/>
            <w:hideMark/>
          </w:tcPr>
          <w:p w14:paraId="321943E7" w14:textId="659E4330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B59EF" w:rsidRPr="00104174" w14:paraId="1B89BD82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0DC00B9A" w14:textId="4429FF79" w:rsidR="006B59EF" w:rsidRPr="00104174" w:rsidRDefault="006B59EF" w:rsidP="003F0AF3">
            <w:pPr>
              <w:tabs>
                <w:tab w:val="left" w:pos="345"/>
                <w:tab w:val="right" w:pos="7547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Home Energy Grants (</w:t>
            </w:r>
            <w:proofErr w:type="gramStart"/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SEAI)</w:t>
            </w:r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</w:t>
            </w:r>
            <w:proofErr w:type="gramEnd"/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5026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3F0A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7.8%</w:t>
            </w:r>
          </w:p>
        </w:tc>
      </w:tr>
      <w:tr w:rsidR="004F4832" w:rsidRPr="00104174" w14:paraId="3BBFD8AF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32F7BBA2" w14:textId="6A8E0E96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759" w:type="pct"/>
            <w:noWrap/>
          </w:tcPr>
          <w:p w14:paraId="64E60426" w14:textId="77211A7B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1,683</w:t>
            </w:r>
          </w:p>
        </w:tc>
        <w:tc>
          <w:tcPr>
            <w:tcW w:w="670" w:type="pct"/>
            <w:noWrap/>
          </w:tcPr>
          <w:p w14:paraId="673A1EE3" w14:textId="797B0961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1F2582EC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6319327D" w14:textId="62BBE1F8" w:rsidR="004F4832" w:rsidRPr="00104174" w:rsidRDefault="00513D9F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759" w:type="pct"/>
            <w:noWrap/>
          </w:tcPr>
          <w:p w14:paraId="58B2C012" w14:textId="21FE6398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1,683</w:t>
            </w:r>
          </w:p>
        </w:tc>
        <w:tc>
          <w:tcPr>
            <w:tcW w:w="670" w:type="pct"/>
            <w:noWrap/>
          </w:tcPr>
          <w:p w14:paraId="5C7F6A7F" w14:textId="23AB1DD6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F0AF3" w:rsidRPr="00104174" w14:paraId="2E72F312" w14:textId="77777777" w:rsidTr="006659D6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650FE938" w14:textId="0C8740DE" w:rsidR="003F0AF3" w:rsidRPr="00513D9F" w:rsidRDefault="0080230B" w:rsidP="00463A13">
            <w:pPr>
              <w:tabs>
                <w:tab w:val="left" w:pos="345"/>
                <w:tab w:val="right" w:pos="7547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Homelessness</w:t>
            </w:r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090CC5" w:rsidRPr="00513D9F">
              <w:rPr>
                <w:rFonts w:ascii="Calibri" w:eastAsia="Times New Roman" w:hAnsi="Calibri" w:cs="Calibri"/>
                <w:color w:val="000000"/>
                <w:lang w:eastAsia="en-IE"/>
              </w:rPr>
              <w:t>4.1%</w:t>
            </w:r>
          </w:p>
        </w:tc>
      </w:tr>
      <w:tr w:rsidR="004F4832" w:rsidRPr="00104174" w14:paraId="61A6D1C0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02585E07" w14:textId="19F93354" w:rsidR="004F4832" w:rsidRPr="00513D9F" w:rsidRDefault="004F4832" w:rsidP="009F1D91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759" w:type="pct"/>
            <w:noWrap/>
          </w:tcPr>
          <w:p w14:paraId="131BDA68" w14:textId="51A628B3" w:rsidR="004F4832" w:rsidRPr="00513D9F" w:rsidRDefault="004F4832" w:rsidP="009F1D9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875</w:t>
            </w:r>
          </w:p>
        </w:tc>
        <w:tc>
          <w:tcPr>
            <w:tcW w:w="670" w:type="pct"/>
            <w:noWrap/>
          </w:tcPr>
          <w:p w14:paraId="2E96938A" w14:textId="77777777" w:rsidR="004F4832" w:rsidRPr="00104174" w:rsidRDefault="004F4832" w:rsidP="009F1D9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76FEE69A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4FB411DE" w14:textId="655A3FD7" w:rsidR="004F4832" w:rsidRPr="00104174" w:rsidRDefault="004F4832" w:rsidP="009F1D91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759" w:type="pct"/>
            <w:noWrap/>
          </w:tcPr>
          <w:p w14:paraId="4A1E5AD9" w14:textId="3FE822CB" w:rsidR="004F4832" w:rsidRPr="00104174" w:rsidRDefault="004F4832" w:rsidP="009F1D9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75</w:t>
            </w:r>
          </w:p>
        </w:tc>
        <w:tc>
          <w:tcPr>
            <w:tcW w:w="670" w:type="pct"/>
            <w:noWrap/>
          </w:tcPr>
          <w:p w14:paraId="09901193" w14:textId="336DB4B8" w:rsidR="004F4832" w:rsidRPr="00104174" w:rsidRDefault="004F4832" w:rsidP="009F1D9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0261C" w:rsidRPr="00104174" w14:paraId="782C74F2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2401E7F5" w14:textId="541490CF" w:rsidR="0050261C" w:rsidRPr="0050261C" w:rsidRDefault="0050261C" w:rsidP="0050261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Other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</w:t>
            </w:r>
            <w:r w:rsidRPr="0050261C">
              <w:rPr>
                <w:rFonts w:ascii="Calibri" w:eastAsia="Times New Roman" w:hAnsi="Calibri" w:cs="Calibri"/>
                <w:color w:val="000000"/>
                <w:lang w:eastAsia="en-IE"/>
              </w:rPr>
              <w:t>4.0%</w:t>
            </w:r>
          </w:p>
        </w:tc>
      </w:tr>
      <w:tr w:rsidR="004F4832" w:rsidRPr="00104174" w14:paraId="0078CABD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36D6A422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759" w:type="pct"/>
            <w:noWrap/>
            <w:hideMark/>
          </w:tcPr>
          <w:p w14:paraId="63637F12" w14:textId="221C361B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854</w:t>
            </w:r>
          </w:p>
        </w:tc>
        <w:tc>
          <w:tcPr>
            <w:tcW w:w="670" w:type="pct"/>
            <w:noWrap/>
            <w:hideMark/>
          </w:tcPr>
          <w:p w14:paraId="7B0EC3C1" w14:textId="040AD231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769D0C54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1BF3378B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  <w:hideMark/>
          </w:tcPr>
          <w:p w14:paraId="5CA680F3" w14:textId="09BD1AED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854</w:t>
            </w:r>
          </w:p>
        </w:tc>
        <w:tc>
          <w:tcPr>
            <w:tcW w:w="670" w:type="pct"/>
            <w:noWrap/>
            <w:hideMark/>
          </w:tcPr>
          <w:p w14:paraId="7AADBF9E" w14:textId="363F8999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8A25E0" w:rsidRPr="00104174" w14:paraId="28A268D2" w14:textId="77777777" w:rsidTr="006659D6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3BF7B332" w14:textId="7391AD58" w:rsidR="008A25E0" w:rsidRPr="00513D9F" w:rsidRDefault="008A25E0" w:rsidP="00175BE8">
            <w:pPr>
              <w:tabs>
                <w:tab w:val="right" w:pos="7318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Buying/ Owning a Home</w:t>
            </w:r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175BE8" w:rsidRPr="00513D9F">
              <w:rPr>
                <w:rFonts w:ascii="Calibri" w:eastAsia="Times New Roman" w:hAnsi="Calibri" w:cs="Calibri"/>
                <w:color w:val="000000"/>
                <w:lang w:eastAsia="en-IE"/>
              </w:rPr>
              <w:t>3.1%</w:t>
            </w:r>
          </w:p>
        </w:tc>
      </w:tr>
      <w:tr w:rsidR="004F4832" w:rsidRPr="00104174" w14:paraId="1B6A501A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3EA41D12" w14:textId="5E9F2FF1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Buying</w:t>
            </w:r>
            <w:r w:rsidR="008A25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/ Owning</w:t>
            </w: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 a Home</w:t>
            </w:r>
          </w:p>
        </w:tc>
        <w:tc>
          <w:tcPr>
            <w:tcW w:w="759" w:type="pct"/>
            <w:noWrap/>
            <w:hideMark/>
          </w:tcPr>
          <w:p w14:paraId="38FC1CDF" w14:textId="35FB122F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664</w:t>
            </w:r>
          </w:p>
        </w:tc>
        <w:tc>
          <w:tcPr>
            <w:tcW w:w="670" w:type="pct"/>
            <w:noWrap/>
            <w:hideMark/>
          </w:tcPr>
          <w:p w14:paraId="3AEC6EFA" w14:textId="4F4804F2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28A0D236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2F4F1E73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  <w:hideMark/>
          </w:tcPr>
          <w:p w14:paraId="094FFE2B" w14:textId="0571E14F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664</w:t>
            </w:r>
          </w:p>
        </w:tc>
        <w:tc>
          <w:tcPr>
            <w:tcW w:w="670" w:type="pct"/>
            <w:noWrap/>
            <w:hideMark/>
          </w:tcPr>
          <w:p w14:paraId="5CD669AC" w14:textId="271C4F57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175BE8" w:rsidRPr="00104174" w14:paraId="23E4D8E8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493F7E80" w14:textId="5EB3F641" w:rsidR="00175BE8" w:rsidRPr="00513D9F" w:rsidRDefault="00175BE8" w:rsidP="00175BE8">
            <w:pPr>
              <w:tabs>
                <w:tab w:val="left" w:pos="885"/>
                <w:tab w:val="right" w:pos="7318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Planning Permission</w:t>
            </w:r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513D9F">
              <w:rPr>
                <w:rFonts w:ascii="Calibri" w:eastAsia="Times New Roman" w:hAnsi="Calibri" w:cs="Calibri"/>
                <w:color w:val="000000"/>
                <w:lang w:eastAsia="en-IE"/>
              </w:rPr>
              <w:t>0.5%</w:t>
            </w:r>
          </w:p>
        </w:tc>
      </w:tr>
      <w:tr w:rsidR="004F4832" w:rsidRPr="00104174" w14:paraId="2A369B0E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613A8AD3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759" w:type="pct"/>
            <w:noWrap/>
            <w:hideMark/>
          </w:tcPr>
          <w:p w14:paraId="1DECB7CA" w14:textId="4F68F718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108</w:t>
            </w:r>
          </w:p>
        </w:tc>
        <w:tc>
          <w:tcPr>
            <w:tcW w:w="670" w:type="pct"/>
            <w:noWrap/>
            <w:hideMark/>
          </w:tcPr>
          <w:p w14:paraId="1D5392E2" w14:textId="39122047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0FE338B2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66AFB412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  <w:hideMark/>
          </w:tcPr>
          <w:p w14:paraId="7D9BFAF1" w14:textId="0FA8F498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108</w:t>
            </w:r>
          </w:p>
        </w:tc>
        <w:tc>
          <w:tcPr>
            <w:tcW w:w="670" w:type="pct"/>
            <w:noWrap/>
            <w:hideMark/>
          </w:tcPr>
          <w:p w14:paraId="63F6D8AC" w14:textId="59443EA6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50261C" w:rsidRPr="00104174" w14:paraId="33832B09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0D0C0DA" w14:textId="38D2D7D3" w:rsidR="0050261C" w:rsidRPr="0050261C" w:rsidRDefault="0050261C" w:rsidP="0050261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Losing your Ho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me                                                                                                                                                                                                                   </w:t>
            </w:r>
            <w:r w:rsidRPr="0050261C">
              <w:rPr>
                <w:rFonts w:ascii="Calibri" w:eastAsia="Times New Roman" w:hAnsi="Calibri" w:cs="Calibri"/>
                <w:color w:val="000000"/>
                <w:lang w:eastAsia="en-IE"/>
              </w:rPr>
              <w:t>0.5%</w:t>
            </w:r>
          </w:p>
        </w:tc>
      </w:tr>
      <w:tr w:rsidR="004F4832" w:rsidRPr="00104174" w14:paraId="5784381A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6AD35020" w14:textId="65DECA09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759" w:type="pct"/>
            <w:noWrap/>
          </w:tcPr>
          <w:p w14:paraId="47B5C5E0" w14:textId="1779D9E3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670" w:type="pct"/>
            <w:noWrap/>
          </w:tcPr>
          <w:p w14:paraId="2374EBBB" w14:textId="205AA2C9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72F8B2BA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</w:tcPr>
          <w:p w14:paraId="61B76AF0" w14:textId="46F321D8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45DF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</w:tcPr>
          <w:p w14:paraId="548E750B" w14:textId="60A6D07D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670" w:type="pct"/>
            <w:noWrap/>
          </w:tcPr>
          <w:p w14:paraId="782D0A7F" w14:textId="4D082E3E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175BE8" w:rsidRPr="00104174" w14:paraId="40345C4F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907181A" w14:textId="285498B9" w:rsidR="00175BE8" w:rsidRPr="00513D9F" w:rsidRDefault="00175BE8" w:rsidP="005C36CD">
            <w:pPr>
              <w:tabs>
                <w:tab w:val="right" w:pos="7318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3D9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 other sub-categories</w:t>
            </w:r>
            <w:r w:rsidR="0050261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5C36CD" w:rsidRPr="00513D9F">
              <w:rPr>
                <w:rFonts w:ascii="Calibri" w:eastAsia="Times New Roman" w:hAnsi="Calibri" w:cs="Calibri"/>
                <w:color w:val="000000"/>
                <w:lang w:eastAsia="en-IE"/>
              </w:rPr>
              <w:t>1.0%</w:t>
            </w:r>
          </w:p>
        </w:tc>
      </w:tr>
      <w:tr w:rsidR="004F4832" w:rsidRPr="00104174" w14:paraId="2701E14A" w14:textId="77777777" w:rsidTr="0050261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2071556E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759" w:type="pct"/>
            <w:noWrap/>
            <w:hideMark/>
          </w:tcPr>
          <w:p w14:paraId="36E71B14" w14:textId="11891CDA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208</w:t>
            </w:r>
          </w:p>
        </w:tc>
        <w:tc>
          <w:tcPr>
            <w:tcW w:w="670" w:type="pct"/>
            <w:noWrap/>
            <w:hideMark/>
          </w:tcPr>
          <w:p w14:paraId="5B0697FE" w14:textId="31760168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4832" w:rsidRPr="00104174" w14:paraId="35B21228" w14:textId="77777777" w:rsidTr="0050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26318969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D004A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  <w:tc>
          <w:tcPr>
            <w:tcW w:w="759" w:type="pct"/>
            <w:noWrap/>
            <w:hideMark/>
          </w:tcPr>
          <w:p w14:paraId="5571391D" w14:textId="52CD3237" w:rsidR="004F4832" w:rsidRPr="00104174" w:rsidRDefault="004F4832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208</w:t>
            </w:r>
          </w:p>
        </w:tc>
        <w:tc>
          <w:tcPr>
            <w:tcW w:w="670" w:type="pct"/>
            <w:noWrap/>
            <w:hideMark/>
          </w:tcPr>
          <w:p w14:paraId="73A901AC" w14:textId="0A193610" w:rsidR="004F4832" w:rsidRPr="00104174" w:rsidRDefault="007C3077" w:rsidP="00D154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F4832" w:rsidRPr="00104174" w14:paraId="39162333" w14:textId="77777777" w:rsidTr="0050261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noWrap/>
            <w:hideMark/>
          </w:tcPr>
          <w:p w14:paraId="231E887C" w14:textId="77777777" w:rsidR="004F4832" w:rsidRPr="00104174" w:rsidRDefault="004F4832" w:rsidP="00D154EA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759" w:type="pct"/>
            <w:noWrap/>
            <w:hideMark/>
          </w:tcPr>
          <w:p w14:paraId="6566B53E" w14:textId="5BD3808D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21,539</w:t>
            </w:r>
          </w:p>
        </w:tc>
        <w:tc>
          <w:tcPr>
            <w:tcW w:w="670" w:type="pct"/>
            <w:noWrap/>
            <w:hideMark/>
          </w:tcPr>
          <w:p w14:paraId="3043EE35" w14:textId="1C1FB39A" w:rsidR="004F4832" w:rsidRPr="00104174" w:rsidRDefault="004F4832" w:rsidP="00D154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100%</w:t>
            </w:r>
          </w:p>
        </w:tc>
      </w:tr>
    </w:tbl>
    <w:p w14:paraId="6AD246BF" w14:textId="20E54E39" w:rsidR="00B561A4" w:rsidRPr="00104174" w:rsidRDefault="00B561A4" w:rsidP="00317E81">
      <w:pPr>
        <w:pStyle w:val="ListParagraph"/>
        <w:rPr>
          <w:rFonts w:ascii="Calibri" w:hAnsi="Calibri" w:cs="Calibri"/>
          <w:sz w:val="20"/>
          <w:szCs w:val="20"/>
        </w:rPr>
      </w:pPr>
      <w:r w:rsidRPr="00104174">
        <w:rPr>
          <w:rFonts w:ascii="Calibri" w:hAnsi="Calibri" w:cs="Calibri"/>
          <w:sz w:val="20"/>
          <w:szCs w:val="20"/>
        </w:rPr>
        <w:t>All other sub-categories include the following query areas: Emergency Accommodation</w:t>
      </w:r>
      <w:r w:rsidR="00B523DA" w:rsidRPr="00104174">
        <w:rPr>
          <w:rFonts w:ascii="Calibri" w:hAnsi="Calibri" w:cs="Calibri"/>
          <w:sz w:val="20"/>
          <w:szCs w:val="20"/>
        </w:rPr>
        <w:t>,</w:t>
      </w:r>
      <w:r w:rsidR="009F1D91" w:rsidRPr="00104174">
        <w:rPr>
          <w:rFonts w:ascii="Calibri" w:hAnsi="Calibri" w:cs="Calibri"/>
          <w:sz w:val="20"/>
          <w:szCs w:val="20"/>
        </w:rPr>
        <w:t xml:space="preserve"> Building or Altering a Home, </w:t>
      </w:r>
      <w:r w:rsidR="00B523DA" w:rsidRPr="00104174">
        <w:rPr>
          <w:rFonts w:ascii="Calibri" w:hAnsi="Calibri" w:cs="Calibri"/>
          <w:sz w:val="20"/>
          <w:szCs w:val="20"/>
        </w:rPr>
        <w:t>M</w:t>
      </w:r>
      <w:r w:rsidRPr="00104174">
        <w:rPr>
          <w:rFonts w:ascii="Calibri" w:hAnsi="Calibri" w:cs="Calibri"/>
          <w:sz w:val="20"/>
          <w:szCs w:val="20"/>
        </w:rPr>
        <w:t>anagement Companies (Apartment Blocks); Equality/Housing Discrimination.</w:t>
      </w:r>
    </w:p>
    <w:p w14:paraId="7B3C5189" w14:textId="77777777" w:rsidR="00A00073" w:rsidRDefault="00A00073" w:rsidP="005A3512">
      <w:pPr>
        <w:rPr>
          <w:rFonts w:ascii="Calibri" w:hAnsi="Calibri" w:cs="Calibri"/>
          <w:b/>
        </w:rPr>
        <w:sectPr w:rsidR="00A00073" w:rsidSect="00A00073">
          <w:pgSz w:w="16838" w:h="11906" w:orient="landscape"/>
          <w:pgMar w:top="425" w:right="1440" w:bottom="992" w:left="1440" w:header="709" w:footer="709" w:gutter="0"/>
          <w:cols w:space="708"/>
          <w:docGrid w:linePitch="360"/>
        </w:sectPr>
      </w:pPr>
    </w:p>
    <w:p w14:paraId="0EAB0DC4" w14:textId="7ABD2F9C" w:rsidR="00D8596B" w:rsidRPr="00104174" w:rsidRDefault="00D8596B" w:rsidP="00D8596B">
      <w:pPr>
        <w:pStyle w:val="Heading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Health</w:t>
      </w:r>
      <w:r w:rsidRPr="00104174">
        <w:rPr>
          <w:rFonts w:ascii="Calibri" w:hAnsi="Calibri" w:cs="Calibri"/>
          <w:b/>
          <w:sz w:val="24"/>
          <w:szCs w:val="24"/>
        </w:rPr>
        <w:t xml:space="preserve"> Query Trends in Q2 202</w:t>
      </w:r>
      <w:r>
        <w:rPr>
          <w:rFonts w:ascii="Calibri" w:hAnsi="Calibri" w:cs="Calibri"/>
          <w:b/>
          <w:sz w:val="24"/>
          <w:szCs w:val="24"/>
        </w:rPr>
        <w:t>4</w:t>
      </w:r>
      <w:r w:rsidRPr="00104174">
        <w:rPr>
          <w:rFonts w:ascii="Calibri" w:hAnsi="Calibri" w:cs="Calibri"/>
          <w:b/>
          <w:sz w:val="24"/>
          <w:szCs w:val="24"/>
        </w:rPr>
        <w:br/>
      </w:r>
    </w:p>
    <w:p w14:paraId="48EA627C" w14:textId="515D4AA0" w:rsidR="0020681F" w:rsidRPr="006F187D" w:rsidRDefault="00B1040D" w:rsidP="00B322F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</w:t>
      </w:r>
      <w:r w:rsidR="00B60276" w:rsidRPr="006F187D">
        <w:rPr>
          <w:rFonts w:ascii="Calibri" w:hAnsi="Calibri" w:cs="Calibri"/>
          <w:b/>
        </w:rPr>
        <w:t xml:space="preserve">able </w:t>
      </w:r>
      <w:r w:rsidR="00F84912" w:rsidRPr="006F187D">
        <w:rPr>
          <w:rFonts w:ascii="Calibri" w:hAnsi="Calibri" w:cs="Calibri"/>
          <w:b/>
        </w:rPr>
        <w:t>1</w:t>
      </w:r>
      <w:r w:rsidR="006659D6">
        <w:rPr>
          <w:rFonts w:ascii="Calibri" w:hAnsi="Calibri" w:cs="Calibri"/>
          <w:b/>
        </w:rPr>
        <w:t>3</w:t>
      </w:r>
      <w:r w:rsidR="00B60276" w:rsidRPr="006F187D">
        <w:rPr>
          <w:rFonts w:ascii="Calibri" w:hAnsi="Calibri" w:cs="Calibri"/>
        </w:rPr>
        <w:t xml:space="preserve"> sets out the </w:t>
      </w:r>
      <w:r w:rsidR="004D2275" w:rsidRPr="006F187D">
        <w:rPr>
          <w:rFonts w:ascii="Calibri" w:hAnsi="Calibri" w:cs="Calibri"/>
          <w:b/>
        </w:rPr>
        <w:t>Health</w:t>
      </w:r>
      <w:r w:rsidR="004272D5" w:rsidRPr="006F187D">
        <w:rPr>
          <w:rFonts w:ascii="Calibri" w:hAnsi="Calibri" w:cs="Calibri"/>
          <w:b/>
        </w:rPr>
        <w:t xml:space="preserve"> </w:t>
      </w:r>
      <w:r w:rsidR="004272D5" w:rsidRPr="006F187D">
        <w:rPr>
          <w:rFonts w:ascii="Calibri" w:hAnsi="Calibri" w:cs="Calibri"/>
        </w:rPr>
        <w:t>quer</w:t>
      </w:r>
      <w:r w:rsidR="00F9432D">
        <w:rPr>
          <w:rFonts w:ascii="Calibri" w:hAnsi="Calibri" w:cs="Calibri"/>
        </w:rPr>
        <w:t xml:space="preserve">y </w:t>
      </w:r>
      <w:r w:rsidR="00DD42EA" w:rsidRPr="006F187D">
        <w:rPr>
          <w:rFonts w:ascii="Calibri" w:hAnsi="Calibri" w:cs="Calibri"/>
        </w:rPr>
        <w:t>dataset</w:t>
      </w:r>
      <w:r w:rsidR="00480671" w:rsidRPr="006F187D">
        <w:rPr>
          <w:rFonts w:ascii="Calibri" w:hAnsi="Calibri" w:cs="Calibri"/>
        </w:rPr>
        <w:t xml:space="preserve"> for Quarter </w:t>
      </w:r>
      <w:r w:rsidR="00B523DA" w:rsidRPr="006F187D">
        <w:rPr>
          <w:rFonts w:ascii="Calibri" w:hAnsi="Calibri" w:cs="Calibri"/>
        </w:rPr>
        <w:t>2</w:t>
      </w:r>
      <w:r w:rsidR="004D2275" w:rsidRPr="006F187D">
        <w:rPr>
          <w:rFonts w:ascii="Calibri" w:hAnsi="Calibri" w:cs="Calibri"/>
        </w:rPr>
        <w:t>,</w:t>
      </w:r>
      <w:r w:rsidR="00C22B32" w:rsidRPr="006F187D">
        <w:rPr>
          <w:rFonts w:ascii="Calibri" w:hAnsi="Calibri" w:cs="Calibri"/>
        </w:rPr>
        <w:t xml:space="preserve"> 202</w:t>
      </w:r>
      <w:r w:rsidR="006F187D" w:rsidRPr="006F187D">
        <w:rPr>
          <w:rFonts w:ascii="Calibri" w:hAnsi="Calibri" w:cs="Calibri"/>
        </w:rPr>
        <w:t>4</w:t>
      </w:r>
      <w:r w:rsidR="00D8596B">
        <w:rPr>
          <w:rFonts w:ascii="Calibri" w:hAnsi="Calibri" w:cs="Calibri"/>
        </w:rPr>
        <w:t>.</w:t>
      </w:r>
      <w:r w:rsidR="00D8596B" w:rsidRPr="006F187D">
        <w:rPr>
          <w:rFonts w:ascii="Calibri" w:hAnsi="Calibri" w:cs="Calibri"/>
        </w:rPr>
        <w:t xml:space="preserve"> </w:t>
      </w:r>
      <w:r w:rsidR="00D8596B">
        <w:rPr>
          <w:rFonts w:ascii="Calibri" w:hAnsi="Calibri" w:cs="Calibri"/>
        </w:rPr>
        <w:t>T</w:t>
      </w:r>
      <w:r w:rsidR="00D8596B" w:rsidRPr="006F187D">
        <w:rPr>
          <w:rFonts w:ascii="Calibri" w:hAnsi="Calibri" w:cs="Calibri"/>
        </w:rPr>
        <w:t xml:space="preserve">hese </w:t>
      </w:r>
      <w:r w:rsidR="00C43171" w:rsidRPr="006F187D">
        <w:rPr>
          <w:rFonts w:ascii="Calibri" w:hAnsi="Calibri" w:cs="Calibri"/>
        </w:rPr>
        <w:t xml:space="preserve">queries represented </w:t>
      </w:r>
      <w:r w:rsidR="006F187D" w:rsidRPr="006F187D">
        <w:rPr>
          <w:rFonts w:ascii="Calibri" w:hAnsi="Calibri" w:cs="Calibri"/>
        </w:rPr>
        <w:t>8</w:t>
      </w:r>
      <w:r w:rsidR="00C43171" w:rsidRPr="006F187D">
        <w:rPr>
          <w:rFonts w:ascii="Calibri" w:hAnsi="Calibri" w:cs="Calibri"/>
        </w:rPr>
        <w:t>.</w:t>
      </w:r>
      <w:r w:rsidR="00B523DA" w:rsidRPr="006F187D">
        <w:rPr>
          <w:rFonts w:ascii="Calibri" w:hAnsi="Calibri" w:cs="Calibri"/>
        </w:rPr>
        <w:t>3</w:t>
      </w:r>
      <w:r w:rsidR="00C43171" w:rsidRPr="006F187D">
        <w:rPr>
          <w:rFonts w:ascii="Calibri" w:hAnsi="Calibri" w:cs="Calibri"/>
        </w:rPr>
        <w:t>% of all queries. Health queries increased by 1</w:t>
      </w:r>
      <w:r w:rsidR="006F187D">
        <w:rPr>
          <w:rFonts w:ascii="Calibri" w:hAnsi="Calibri" w:cs="Calibri"/>
        </w:rPr>
        <w:t>3.2</w:t>
      </w:r>
      <w:r w:rsidR="00C43171" w:rsidRPr="006F187D">
        <w:rPr>
          <w:rFonts w:ascii="Calibri" w:hAnsi="Calibri" w:cs="Calibri"/>
        </w:rPr>
        <w:t>% compared to the same quarter in 202</w:t>
      </w:r>
      <w:r w:rsidR="006F187D">
        <w:rPr>
          <w:rFonts w:ascii="Calibri" w:hAnsi="Calibri" w:cs="Calibri"/>
        </w:rPr>
        <w:t>3</w:t>
      </w:r>
      <w:r w:rsidR="001F7146" w:rsidRPr="006F187D">
        <w:rPr>
          <w:rFonts w:ascii="Calibri" w:hAnsi="Calibri" w:cs="Calibri"/>
        </w:rPr>
        <w:t xml:space="preserve"> with the majority relating to medical card eligibility.</w:t>
      </w:r>
    </w:p>
    <w:p w14:paraId="3BDB8DEC" w14:textId="6A19FB44" w:rsidR="0020681F" w:rsidRPr="00104174" w:rsidRDefault="0020681F" w:rsidP="004427EC">
      <w:pPr>
        <w:pStyle w:val="Heading1"/>
        <w:rPr>
          <w:rFonts w:ascii="Calibri" w:hAnsi="Calibri" w:cs="Calibri"/>
          <w:b/>
          <w:sz w:val="24"/>
          <w:szCs w:val="24"/>
        </w:rPr>
      </w:pPr>
      <w:r w:rsidRPr="00104174">
        <w:rPr>
          <w:rFonts w:ascii="Calibri" w:hAnsi="Calibri" w:cs="Calibri"/>
          <w:b/>
          <w:sz w:val="24"/>
          <w:szCs w:val="24"/>
        </w:rPr>
        <w:t>Query statistics relating to Health.</w:t>
      </w:r>
    </w:p>
    <w:p w14:paraId="05DF136A" w14:textId="75C368F2" w:rsidR="00103344" w:rsidRPr="00104174" w:rsidRDefault="00103344" w:rsidP="00103344">
      <w:p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Health queries overall </w:t>
      </w:r>
      <w:r w:rsidR="00F9432D">
        <w:rPr>
          <w:rFonts w:ascii="Calibri" w:hAnsi="Calibri" w:cs="Calibri"/>
          <w:bCs/>
        </w:rPr>
        <w:t>in</w:t>
      </w:r>
      <w:r w:rsidRPr="00104174">
        <w:rPr>
          <w:rFonts w:ascii="Calibri" w:hAnsi="Calibri" w:cs="Calibri"/>
          <w:bCs/>
        </w:rPr>
        <w:t>creased by 13.2%</w:t>
      </w:r>
      <w:r w:rsidR="008713C2">
        <w:rPr>
          <w:rFonts w:ascii="Calibri" w:hAnsi="Calibri" w:cs="Calibri"/>
          <w:bCs/>
        </w:rPr>
        <w:t xml:space="preserve"> (</w:t>
      </w:r>
      <w:r w:rsidR="00D52DBD">
        <w:rPr>
          <w:rFonts w:ascii="Calibri" w:hAnsi="Calibri" w:cs="Calibri"/>
          <w:bCs/>
        </w:rPr>
        <w:t>16,049)</w:t>
      </w:r>
      <w:r w:rsidRPr="00104174">
        <w:rPr>
          <w:rFonts w:ascii="Calibri" w:hAnsi="Calibri" w:cs="Calibri"/>
          <w:bCs/>
        </w:rPr>
        <w:t>.</w:t>
      </w:r>
    </w:p>
    <w:p w14:paraId="138C615F" w14:textId="290C41B5" w:rsidR="00103344" w:rsidRPr="00104174" w:rsidRDefault="00103344" w:rsidP="00103344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Medical Card queries increased by 17.3%</w:t>
      </w:r>
      <w:r w:rsidR="00AB5E07" w:rsidRPr="00104174">
        <w:rPr>
          <w:rFonts w:ascii="Calibri" w:hAnsi="Calibri" w:cs="Calibri"/>
          <w:bCs/>
        </w:rPr>
        <w:t xml:space="preserve"> and made up 61.6% of all queries under Health</w:t>
      </w:r>
      <w:r w:rsidR="00D52DBD">
        <w:rPr>
          <w:rFonts w:ascii="Calibri" w:hAnsi="Calibri" w:cs="Calibri"/>
          <w:bCs/>
        </w:rPr>
        <w:t xml:space="preserve"> (9,892)</w:t>
      </w:r>
      <w:r w:rsidR="00AB5E07" w:rsidRPr="00104174">
        <w:rPr>
          <w:rFonts w:ascii="Calibri" w:hAnsi="Calibri" w:cs="Calibri"/>
          <w:bCs/>
        </w:rPr>
        <w:t>.</w:t>
      </w:r>
    </w:p>
    <w:p w14:paraId="55323D35" w14:textId="7000D9FF" w:rsidR="00B671F0" w:rsidRDefault="00B671F0" w:rsidP="00103344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Fair Deal &amp; </w:t>
      </w:r>
      <w:r w:rsidR="002919AD">
        <w:rPr>
          <w:rFonts w:ascii="Calibri" w:hAnsi="Calibri" w:cs="Calibri"/>
          <w:bCs/>
        </w:rPr>
        <w:t>H</w:t>
      </w:r>
      <w:r w:rsidRPr="00104174">
        <w:rPr>
          <w:rFonts w:ascii="Calibri" w:hAnsi="Calibri" w:cs="Calibri"/>
          <w:bCs/>
        </w:rPr>
        <w:t xml:space="preserve">ome Care Package </w:t>
      </w:r>
      <w:r w:rsidR="000D6C36">
        <w:rPr>
          <w:rFonts w:ascii="Calibri" w:hAnsi="Calibri" w:cs="Calibri"/>
          <w:bCs/>
        </w:rPr>
        <w:t xml:space="preserve">queries </w:t>
      </w:r>
      <w:r w:rsidRPr="00104174">
        <w:rPr>
          <w:rFonts w:ascii="Calibri" w:hAnsi="Calibri" w:cs="Calibri"/>
          <w:bCs/>
        </w:rPr>
        <w:t>remained at a similar level</w:t>
      </w:r>
      <w:r w:rsidR="00D52DBD">
        <w:rPr>
          <w:rFonts w:ascii="Calibri" w:hAnsi="Calibri" w:cs="Calibri"/>
          <w:bCs/>
        </w:rPr>
        <w:t xml:space="preserve"> (950)</w:t>
      </w:r>
      <w:r w:rsidRPr="00104174">
        <w:rPr>
          <w:rFonts w:ascii="Calibri" w:hAnsi="Calibri" w:cs="Calibri"/>
          <w:bCs/>
        </w:rPr>
        <w:t>.</w:t>
      </w:r>
    </w:p>
    <w:p w14:paraId="377ADDA4" w14:textId="05959684" w:rsidR="00873FDD" w:rsidRPr="00104174" w:rsidRDefault="00873FDD" w:rsidP="00103344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GP Visit Card</w:t>
      </w:r>
      <w:r w:rsidR="00D8596B">
        <w:rPr>
          <w:rFonts w:ascii="Calibri" w:hAnsi="Calibri" w:cs="Calibri"/>
          <w:bCs/>
        </w:rPr>
        <w:t xml:space="preserve"> -</w:t>
      </w:r>
      <w:r w:rsidR="00400BC6">
        <w:rPr>
          <w:rFonts w:ascii="Calibri" w:hAnsi="Calibri" w:cs="Calibri"/>
          <w:bCs/>
        </w:rPr>
        <w:t xml:space="preserve"> a new category</w:t>
      </w:r>
      <w:r w:rsidR="00D8596B">
        <w:rPr>
          <w:rFonts w:ascii="Calibri" w:hAnsi="Calibri" w:cs="Calibri"/>
          <w:bCs/>
        </w:rPr>
        <w:t xml:space="preserve"> -</w:t>
      </w:r>
      <w:r w:rsidR="00400BC6">
        <w:rPr>
          <w:rFonts w:ascii="Calibri" w:hAnsi="Calibri" w:cs="Calibri"/>
          <w:bCs/>
        </w:rPr>
        <w:t xml:space="preserve"> had</w:t>
      </w:r>
      <w:r>
        <w:rPr>
          <w:rFonts w:ascii="Calibri" w:hAnsi="Calibri" w:cs="Calibri"/>
          <w:bCs/>
        </w:rPr>
        <w:t xml:space="preserve"> 826</w:t>
      </w:r>
      <w:r w:rsidR="00400BC6">
        <w:rPr>
          <w:rFonts w:ascii="Calibri" w:hAnsi="Calibri" w:cs="Calibri"/>
          <w:bCs/>
        </w:rPr>
        <w:t xml:space="preserve"> queries</w:t>
      </w:r>
      <w:r w:rsidRPr="00104174">
        <w:rPr>
          <w:rFonts w:ascii="Calibri" w:hAnsi="Calibri" w:cs="Calibri"/>
          <w:bCs/>
        </w:rPr>
        <w:t>.</w:t>
      </w:r>
    </w:p>
    <w:p w14:paraId="2280B7A2" w14:textId="4F1C465C" w:rsidR="00AB5E07" w:rsidRPr="00104174" w:rsidRDefault="00AB5E07" w:rsidP="00103344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Drugs/Medicines</w:t>
      </w:r>
      <w:r w:rsidR="00D8596B">
        <w:rPr>
          <w:rFonts w:ascii="Calibri" w:hAnsi="Calibri" w:cs="Calibri"/>
          <w:bCs/>
        </w:rPr>
        <w:t xml:space="preserve"> queries</w:t>
      </w:r>
      <w:r w:rsidRPr="00104174">
        <w:rPr>
          <w:rFonts w:ascii="Calibri" w:hAnsi="Calibri" w:cs="Calibri"/>
          <w:bCs/>
        </w:rPr>
        <w:t xml:space="preserve"> </w:t>
      </w:r>
      <w:r w:rsidR="00B671F0" w:rsidRPr="00104174">
        <w:rPr>
          <w:rFonts w:ascii="Calibri" w:hAnsi="Calibri" w:cs="Calibri"/>
          <w:bCs/>
        </w:rPr>
        <w:t>increased</w:t>
      </w:r>
      <w:r w:rsidRPr="00104174">
        <w:rPr>
          <w:rFonts w:ascii="Calibri" w:hAnsi="Calibri" w:cs="Calibri"/>
          <w:bCs/>
        </w:rPr>
        <w:t xml:space="preserve"> by 36.9%</w:t>
      </w:r>
      <w:r w:rsidR="00D52DBD">
        <w:rPr>
          <w:rFonts w:ascii="Calibri" w:hAnsi="Calibri" w:cs="Calibri"/>
          <w:bCs/>
        </w:rPr>
        <w:t xml:space="preserve"> (586)</w:t>
      </w:r>
      <w:r w:rsidR="0000767E">
        <w:rPr>
          <w:rFonts w:ascii="Calibri" w:hAnsi="Calibri" w:cs="Calibri"/>
          <w:bCs/>
        </w:rPr>
        <w:t>.</w:t>
      </w:r>
    </w:p>
    <w:p w14:paraId="5DD32876" w14:textId="05DA9678" w:rsidR="005874F2" w:rsidRPr="00104174" w:rsidRDefault="00AB5E07" w:rsidP="00AB5E07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 xml:space="preserve">GP Services queries </w:t>
      </w:r>
      <w:r w:rsidR="007C3077">
        <w:rPr>
          <w:rFonts w:ascii="Calibri" w:hAnsi="Calibri" w:cs="Calibri"/>
          <w:bCs/>
        </w:rPr>
        <w:t>declined</w:t>
      </w:r>
      <w:r w:rsidRPr="00104174">
        <w:rPr>
          <w:rFonts w:ascii="Calibri" w:hAnsi="Calibri" w:cs="Calibri"/>
          <w:bCs/>
        </w:rPr>
        <w:t xml:space="preserve"> by 47.6%</w:t>
      </w:r>
      <w:r w:rsidR="00D52DBD">
        <w:rPr>
          <w:rFonts w:ascii="Calibri" w:hAnsi="Calibri" w:cs="Calibri"/>
          <w:bCs/>
        </w:rPr>
        <w:t xml:space="preserve"> (</w:t>
      </w:r>
      <w:r w:rsidR="00873FDD">
        <w:rPr>
          <w:rFonts w:ascii="Calibri" w:hAnsi="Calibri" w:cs="Calibri"/>
          <w:bCs/>
        </w:rPr>
        <w:t>495).</w:t>
      </w:r>
    </w:p>
    <w:p w14:paraId="1569D4FF" w14:textId="26191F9E" w:rsidR="00B671F0" w:rsidRPr="00104174" w:rsidRDefault="00B671F0" w:rsidP="00AB5E07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Health Services for Older People</w:t>
      </w:r>
      <w:r w:rsidR="00D376CA">
        <w:rPr>
          <w:rFonts w:ascii="Calibri" w:hAnsi="Calibri" w:cs="Calibri"/>
          <w:bCs/>
        </w:rPr>
        <w:t xml:space="preserve"> queries</w:t>
      </w:r>
      <w:r w:rsidRPr="00104174">
        <w:rPr>
          <w:rFonts w:ascii="Calibri" w:hAnsi="Calibri" w:cs="Calibri"/>
          <w:bCs/>
        </w:rPr>
        <w:t xml:space="preserve"> increased by 28.1%</w:t>
      </w:r>
      <w:r w:rsidR="00400BC6">
        <w:rPr>
          <w:rFonts w:ascii="Calibri" w:hAnsi="Calibri" w:cs="Calibri"/>
          <w:bCs/>
        </w:rPr>
        <w:t xml:space="preserve"> (379)</w:t>
      </w:r>
      <w:r w:rsidRPr="00104174">
        <w:rPr>
          <w:rFonts w:ascii="Calibri" w:hAnsi="Calibri" w:cs="Calibri"/>
          <w:bCs/>
        </w:rPr>
        <w:t>.</w:t>
      </w:r>
    </w:p>
    <w:p w14:paraId="260A420A" w14:textId="6D5B2C10" w:rsidR="00A371F5" w:rsidRPr="00104174" w:rsidRDefault="00B671F0" w:rsidP="0020681F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EU Healthcare</w:t>
      </w:r>
      <w:r w:rsidR="00D376CA">
        <w:rPr>
          <w:rFonts w:ascii="Calibri" w:hAnsi="Calibri" w:cs="Calibri"/>
          <w:bCs/>
        </w:rPr>
        <w:t xml:space="preserve"> queries</w:t>
      </w:r>
      <w:r w:rsidRPr="00104174">
        <w:rPr>
          <w:rFonts w:ascii="Calibri" w:hAnsi="Calibri" w:cs="Calibri"/>
          <w:bCs/>
        </w:rPr>
        <w:t xml:space="preserve"> decreased by 40.8%</w:t>
      </w:r>
      <w:r w:rsidR="00400BC6">
        <w:rPr>
          <w:rFonts w:ascii="Calibri" w:hAnsi="Calibri" w:cs="Calibri"/>
          <w:bCs/>
        </w:rPr>
        <w:t xml:space="preserve"> (248)</w:t>
      </w:r>
      <w:r w:rsidRPr="00104174">
        <w:rPr>
          <w:rFonts w:ascii="Calibri" w:hAnsi="Calibri" w:cs="Calibri"/>
          <w:bCs/>
        </w:rPr>
        <w:t>.</w:t>
      </w:r>
    </w:p>
    <w:p w14:paraId="6957AA3C" w14:textId="08DA132F" w:rsidR="0020681F" w:rsidRDefault="0020681F" w:rsidP="00103344">
      <w:pPr>
        <w:pStyle w:val="Heading1"/>
        <w:rPr>
          <w:rFonts w:ascii="Calibri" w:hAnsi="Calibri" w:cs="Calibri"/>
          <w:b/>
          <w:sz w:val="24"/>
          <w:szCs w:val="24"/>
        </w:rPr>
      </w:pPr>
      <w:r w:rsidRPr="00104174">
        <w:rPr>
          <w:rFonts w:ascii="Calibri" w:hAnsi="Calibri" w:cs="Calibri"/>
          <w:b/>
          <w:sz w:val="24"/>
          <w:szCs w:val="24"/>
        </w:rPr>
        <w:t xml:space="preserve">Caller </w:t>
      </w:r>
      <w:r w:rsidR="00797863" w:rsidRPr="00104174">
        <w:rPr>
          <w:rFonts w:ascii="Calibri" w:hAnsi="Calibri" w:cs="Calibri"/>
          <w:b/>
          <w:sz w:val="24"/>
          <w:szCs w:val="24"/>
        </w:rPr>
        <w:t xml:space="preserve">profile </w:t>
      </w:r>
      <w:r w:rsidRPr="00104174">
        <w:rPr>
          <w:rFonts w:ascii="Calibri" w:hAnsi="Calibri" w:cs="Calibri"/>
          <w:b/>
          <w:sz w:val="24"/>
          <w:szCs w:val="24"/>
        </w:rPr>
        <w:t>statistics relating to Health.</w:t>
      </w:r>
    </w:p>
    <w:p w14:paraId="428A66DA" w14:textId="6381329A" w:rsidR="001557B3" w:rsidRPr="001557B3" w:rsidRDefault="001557B3" w:rsidP="001557B3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557B3">
        <w:rPr>
          <w:rFonts w:ascii="Calibri" w:hAnsi="Calibri" w:cs="Calibri"/>
          <w:bCs/>
        </w:rPr>
        <w:t>All the age cohorts enquired about health matters at almost similar levels.</w:t>
      </w:r>
    </w:p>
    <w:p w14:paraId="14EE65E2" w14:textId="0F117C81" w:rsidR="00B671F0" w:rsidRPr="00104174" w:rsidRDefault="00903A6E" w:rsidP="00B671F0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26-45 age group and the </w:t>
      </w:r>
      <w:r w:rsidR="00C03114">
        <w:rPr>
          <w:rFonts w:ascii="Calibri" w:hAnsi="Calibri" w:cs="Calibri"/>
          <w:bCs/>
        </w:rPr>
        <w:t xml:space="preserve">46-65 age cohort contacted the most about </w:t>
      </w:r>
      <w:r w:rsidR="00B671F0" w:rsidRPr="00104174">
        <w:rPr>
          <w:rFonts w:ascii="Calibri" w:hAnsi="Calibri" w:cs="Calibri"/>
          <w:bCs/>
        </w:rPr>
        <w:t>Medical Card</w:t>
      </w:r>
      <w:r w:rsidR="00C03114">
        <w:rPr>
          <w:rFonts w:ascii="Calibri" w:hAnsi="Calibri" w:cs="Calibri"/>
          <w:bCs/>
        </w:rPr>
        <w:t xml:space="preserve"> (33.4% for both), followed closely by the 66 and Over (29.4%)</w:t>
      </w:r>
      <w:r w:rsidR="00B671F0" w:rsidRPr="00104174">
        <w:rPr>
          <w:rFonts w:ascii="Calibri" w:hAnsi="Calibri" w:cs="Calibri"/>
          <w:bCs/>
        </w:rPr>
        <w:t>.</w:t>
      </w:r>
    </w:p>
    <w:p w14:paraId="2C1112DB" w14:textId="2E90A51F" w:rsidR="00F522C6" w:rsidRPr="00104174" w:rsidRDefault="00F522C6" w:rsidP="00B671F0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104174">
        <w:rPr>
          <w:rFonts w:ascii="Calibri" w:hAnsi="Calibri" w:cs="Calibri"/>
          <w:bCs/>
        </w:rPr>
        <w:t>Those who called about</w:t>
      </w:r>
      <w:r w:rsidR="00D376CA">
        <w:rPr>
          <w:rFonts w:ascii="Calibri" w:hAnsi="Calibri" w:cs="Calibri"/>
          <w:bCs/>
        </w:rPr>
        <w:t xml:space="preserve"> the</w:t>
      </w:r>
      <w:r w:rsidRPr="00104174">
        <w:rPr>
          <w:rFonts w:ascii="Calibri" w:hAnsi="Calibri" w:cs="Calibri"/>
          <w:bCs/>
        </w:rPr>
        <w:t xml:space="preserve"> Fair Deal &amp; Home Care Package were </w:t>
      </w:r>
      <w:r w:rsidR="00D376CA">
        <w:rPr>
          <w:rFonts w:ascii="Calibri" w:hAnsi="Calibri" w:cs="Calibri"/>
          <w:bCs/>
        </w:rPr>
        <w:t>mostly aged</w:t>
      </w:r>
      <w:r w:rsidR="00D376CA" w:rsidRPr="00104174">
        <w:rPr>
          <w:rFonts w:ascii="Calibri" w:hAnsi="Calibri" w:cs="Calibri"/>
          <w:bCs/>
        </w:rPr>
        <w:t xml:space="preserve"> </w:t>
      </w:r>
      <w:r w:rsidRPr="00104174">
        <w:rPr>
          <w:rFonts w:ascii="Calibri" w:hAnsi="Calibri" w:cs="Calibri"/>
          <w:bCs/>
        </w:rPr>
        <w:t>46-65 (44.9%)</w:t>
      </w:r>
      <w:r w:rsidR="00D376CA">
        <w:rPr>
          <w:rFonts w:ascii="Calibri" w:hAnsi="Calibri" w:cs="Calibri"/>
          <w:bCs/>
        </w:rPr>
        <w:t>, closely followed by those aged</w:t>
      </w:r>
      <w:r w:rsidRPr="00104174">
        <w:rPr>
          <w:rFonts w:ascii="Calibri" w:hAnsi="Calibri" w:cs="Calibri"/>
          <w:bCs/>
        </w:rPr>
        <w:t xml:space="preserve"> 66 and Over</w:t>
      </w:r>
      <w:r w:rsidR="008E54D3" w:rsidRPr="00104174">
        <w:rPr>
          <w:rFonts w:ascii="Calibri" w:hAnsi="Calibri" w:cs="Calibri"/>
          <w:bCs/>
        </w:rPr>
        <w:t xml:space="preserve"> (42.4%).</w:t>
      </w:r>
    </w:p>
    <w:p w14:paraId="5970AF23" w14:textId="77777777" w:rsidR="00116AE7" w:rsidRDefault="00116AE7" w:rsidP="00103344">
      <w:pPr>
        <w:sectPr w:rsidR="00116AE7" w:rsidSect="00116AE7">
          <w:pgSz w:w="11906" w:h="16838"/>
          <w:pgMar w:top="1440" w:right="992" w:bottom="1440" w:left="425" w:header="709" w:footer="709" w:gutter="0"/>
          <w:cols w:space="708"/>
          <w:docGrid w:linePitch="360"/>
        </w:sectPr>
      </w:pPr>
    </w:p>
    <w:p w14:paraId="54410537" w14:textId="65C731E2" w:rsidR="000C6851" w:rsidRPr="00B322F2" w:rsidRDefault="008839F4" w:rsidP="00116AE7">
      <w:pPr>
        <w:spacing w:line="259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</w:pPr>
      <w:r w:rsidRPr="00B322F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  <w:lastRenderedPageBreak/>
        <w:t xml:space="preserve">Table </w:t>
      </w:r>
      <w:r w:rsidR="00F84912" w:rsidRPr="00B322F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  <w:t>1</w:t>
      </w:r>
      <w:r w:rsidR="006659D6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  <w:t>3</w:t>
      </w:r>
      <w:r w:rsidRPr="00B322F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  <w:t xml:space="preserve"> - Health</w:t>
      </w:r>
      <w:r w:rsidR="00B60276" w:rsidRPr="00B322F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  <w:t xml:space="preserve"> Query Breakdown</w:t>
      </w:r>
    </w:p>
    <w:tbl>
      <w:tblPr>
        <w:tblStyle w:val="GridTable5Dark-Accent6"/>
        <w:tblW w:w="5000" w:type="pct"/>
        <w:tblLook w:val="04A0" w:firstRow="1" w:lastRow="0" w:firstColumn="1" w:lastColumn="0" w:noHBand="0" w:noVBand="1"/>
      </w:tblPr>
      <w:tblGrid>
        <w:gridCol w:w="8815"/>
        <w:gridCol w:w="2388"/>
        <w:gridCol w:w="2745"/>
      </w:tblGrid>
      <w:tr w:rsidR="00B23ABD" w:rsidRPr="00104174" w14:paraId="219A794C" w14:textId="77777777" w:rsidTr="00665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hideMark/>
          </w:tcPr>
          <w:p w14:paraId="47CD1F8C" w14:textId="68557B4C" w:rsidR="00B23ABD" w:rsidRPr="00104174" w:rsidRDefault="00373F93" w:rsidP="00966547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Health </w:t>
            </w:r>
            <w:r w:rsidR="00B23ABD" w:rsidRPr="001041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Sub-category Breakdown</w:t>
            </w:r>
          </w:p>
        </w:tc>
        <w:tc>
          <w:tcPr>
            <w:tcW w:w="856" w:type="pct"/>
            <w:hideMark/>
          </w:tcPr>
          <w:p w14:paraId="23401BE5" w14:textId="77777777" w:rsidR="00B23ABD" w:rsidRPr="00104174" w:rsidRDefault="00B23ABD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984" w:type="pct"/>
            <w:hideMark/>
          </w:tcPr>
          <w:p w14:paraId="6D7AF874" w14:textId="689941BB" w:rsidR="00B23ABD" w:rsidRPr="00104174" w:rsidRDefault="00B23ABD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lang w:eastAsia="en-IE"/>
              </w:rPr>
              <w:t>% of Health -categor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ies</w:t>
            </w:r>
          </w:p>
        </w:tc>
      </w:tr>
      <w:tr w:rsidR="00B23ABD" w:rsidRPr="00104174" w14:paraId="0DFF1186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  <w:hideMark/>
          </w:tcPr>
          <w:p w14:paraId="7C110726" w14:textId="77777777" w:rsidR="00B23ABD" w:rsidRPr="00104174" w:rsidRDefault="00B23ABD" w:rsidP="00966547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856" w:type="pct"/>
            <w:noWrap/>
            <w:hideMark/>
          </w:tcPr>
          <w:p w14:paraId="344C3B96" w14:textId="6922DCE2" w:rsidR="00B23ABD" w:rsidRPr="00104174" w:rsidRDefault="00B23ABD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9,892</w:t>
            </w:r>
          </w:p>
        </w:tc>
        <w:tc>
          <w:tcPr>
            <w:tcW w:w="984" w:type="pct"/>
            <w:noWrap/>
            <w:hideMark/>
          </w:tcPr>
          <w:p w14:paraId="6B96A9DA" w14:textId="7A25ACF4" w:rsidR="00B23ABD" w:rsidRPr="006659D6" w:rsidRDefault="00B23ABD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474ED2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3518BC16" w14:textId="77777777" w:rsidTr="006659D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  <w:hideMark/>
          </w:tcPr>
          <w:p w14:paraId="5A195F9B" w14:textId="77777777" w:rsidR="00B23ABD" w:rsidRPr="00104174" w:rsidRDefault="00B23ABD" w:rsidP="00966547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856" w:type="pct"/>
            <w:noWrap/>
            <w:hideMark/>
          </w:tcPr>
          <w:p w14:paraId="1A759427" w14:textId="1DA392CA" w:rsidR="00B23ABD" w:rsidRPr="00104174" w:rsidRDefault="00B23ABD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950</w:t>
            </w:r>
          </w:p>
        </w:tc>
        <w:tc>
          <w:tcPr>
            <w:tcW w:w="984" w:type="pct"/>
            <w:noWrap/>
            <w:hideMark/>
          </w:tcPr>
          <w:p w14:paraId="2BC163A7" w14:textId="18B92FBE" w:rsidR="00B23ABD" w:rsidRPr="006659D6" w:rsidRDefault="00B23ABD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  <w:r w:rsidR="00474ED2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5.9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2031C11E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60B44694" w14:textId="585021D8" w:rsidR="00B23ABD" w:rsidRPr="00104174" w:rsidRDefault="00B23ABD" w:rsidP="00966547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GP Visit Card</w:t>
            </w:r>
          </w:p>
        </w:tc>
        <w:tc>
          <w:tcPr>
            <w:tcW w:w="856" w:type="pct"/>
            <w:noWrap/>
          </w:tcPr>
          <w:p w14:paraId="7F048DF4" w14:textId="20B31585" w:rsidR="00B23ABD" w:rsidRPr="00104174" w:rsidRDefault="00B23ABD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826</w:t>
            </w:r>
          </w:p>
        </w:tc>
        <w:tc>
          <w:tcPr>
            <w:tcW w:w="984" w:type="pct"/>
            <w:noWrap/>
          </w:tcPr>
          <w:p w14:paraId="6CC6C2F2" w14:textId="491A5323" w:rsidR="00B23ABD" w:rsidRPr="006659D6" w:rsidRDefault="00B23ABD" w:rsidP="00AC61F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</w:t>
            </w:r>
            <w:r w:rsidR="00474ED2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1F265CE1" w14:textId="77777777" w:rsidTr="006659D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4A3ECD71" w14:textId="3A3272CE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856" w:type="pct"/>
            <w:noWrap/>
          </w:tcPr>
          <w:p w14:paraId="665C4602" w14:textId="17716D03" w:rsidR="00B23ABD" w:rsidRPr="00104174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743</w:t>
            </w:r>
          </w:p>
        </w:tc>
        <w:tc>
          <w:tcPr>
            <w:tcW w:w="984" w:type="pct"/>
            <w:noWrap/>
          </w:tcPr>
          <w:p w14:paraId="7CF6B262" w14:textId="07C2A560" w:rsidR="00B23ABD" w:rsidRPr="006659D6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</w:t>
            </w:r>
            <w:r w:rsidR="00474ED2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4.6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 </w:t>
            </w:r>
          </w:p>
        </w:tc>
      </w:tr>
      <w:tr w:rsidR="00B23ABD" w:rsidRPr="00104174" w14:paraId="6CCA1DB8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5AAA73A4" w14:textId="1CD5639F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856" w:type="pct"/>
            <w:noWrap/>
          </w:tcPr>
          <w:p w14:paraId="582344FA" w14:textId="093F82A3" w:rsidR="00B23ABD" w:rsidRPr="00104174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495</w:t>
            </w:r>
          </w:p>
        </w:tc>
        <w:tc>
          <w:tcPr>
            <w:tcW w:w="984" w:type="pct"/>
            <w:noWrap/>
          </w:tcPr>
          <w:p w14:paraId="5C1A01F6" w14:textId="5F2D6120" w:rsidR="00B23ABD" w:rsidRPr="006659D6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</w:t>
            </w:r>
            <w:r w:rsidR="00CF0E7E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3.</w:t>
            </w:r>
            <w:r w:rsidR="00474ED2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 </w:t>
            </w:r>
          </w:p>
        </w:tc>
      </w:tr>
      <w:tr w:rsidR="00373F93" w:rsidRPr="00104174" w14:paraId="09BCE4A8" w14:textId="77777777" w:rsidTr="006659D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07328AB7" w14:textId="69BE8B63" w:rsidR="00373F93" w:rsidRPr="00104174" w:rsidRDefault="001E5307" w:rsidP="00373F9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</w:t>
            </w:r>
            <w:r w:rsidR="00D501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ugs and Medicine - </w:t>
            </w:r>
            <w:r w:rsidR="00373F93"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856" w:type="pct"/>
            <w:noWrap/>
          </w:tcPr>
          <w:p w14:paraId="39003764" w14:textId="0F37610F" w:rsidR="00373F93" w:rsidRPr="00104174" w:rsidRDefault="00373F93" w:rsidP="00373F9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380</w:t>
            </w:r>
          </w:p>
        </w:tc>
        <w:tc>
          <w:tcPr>
            <w:tcW w:w="984" w:type="pct"/>
            <w:noWrap/>
          </w:tcPr>
          <w:p w14:paraId="5859D7E9" w14:textId="5E637378" w:rsidR="00373F93" w:rsidRPr="006659D6" w:rsidRDefault="00CF0E7E" w:rsidP="00373F9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B1040D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3624AC85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6986823C" w14:textId="7DB4C423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856" w:type="pct"/>
            <w:noWrap/>
          </w:tcPr>
          <w:p w14:paraId="683F1F92" w14:textId="19782BAF" w:rsidR="00B23ABD" w:rsidRPr="00104174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379</w:t>
            </w:r>
          </w:p>
        </w:tc>
        <w:tc>
          <w:tcPr>
            <w:tcW w:w="984" w:type="pct"/>
            <w:noWrap/>
          </w:tcPr>
          <w:p w14:paraId="58AB13D5" w14:textId="0BFDDA73" w:rsidR="00B23ABD" w:rsidRPr="006659D6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2.4%</w:t>
            </w:r>
          </w:p>
        </w:tc>
      </w:tr>
      <w:tr w:rsidR="00B23ABD" w:rsidRPr="00104174" w14:paraId="2A123C8D" w14:textId="77777777" w:rsidTr="006659D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560E96C8" w14:textId="018780FF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856" w:type="pct"/>
            <w:noWrap/>
          </w:tcPr>
          <w:p w14:paraId="08BB61A8" w14:textId="490AC192" w:rsidR="00B23ABD" w:rsidRPr="00104174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276</w:t>
            </w:r>
          </w:p>
        </w:tc>
        <w:tc>
          <w:tcPr>
            <w:tcW w:w="984" w:type="pct"/>
            <w:noWrap/>
          </w:tcPr>
          <w:p w14:paraId="179E2C32" w14:textId="25EB3E93" w:rsidR="00B23ABD" w:rsidRPr="006659D6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2C6F2A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2CAE4E38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5482B8F0" w14:textId="6324BA45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856" w:type="pct"/>
            <w:noWrap/>
          </w:tcPr>
          <w:p w14:paraId="35FDAD73" w14:textId="654920B7" w:rsidR="00B23ABD" w:rsidRPr="00104174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273</w:t>
            </w:r>
          </w:p>
        </w:tc>
        <w:tc>
          <w:tcPr>
            <w:tcW w:w="984" w:type="pct"/>
            <w:noWrap/>
          </w:tcPr>
          <w:p w14:paraId="5FF3F296" w14:textId="536BC334" w:rsidR="00B23ABD" w:rsidRPr="006659D6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2C6F2A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78DA7664" w14:textId="77777777" w:rsidTr="006659D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32E7D292" w14:textId="2DA01D3E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856" w:type="pct"/>
            <w:noWrap/>
          </w:tcPr>
          <w:p w14:paraId="0286039C" w14:textId="0B5EB9D7" w:rsidR="00B23ABD" w:rsidRPr="00104174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248</w:t>
            </w:r>
          </w:p>
        </w:tc>
        <w:tc>
          <w:tcPr>
            <w:tcW w:w="984" w:type="pct"/>
            <w:noWrap/>
          </w:tcPr>
          <w:p w14:paraId="6A451F9B" w14:textId="0C9C51BB" w:rsidR="00B23ABD" w:rsidRPr="006659D6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2C6F2A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44E5C54D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698B4F0A" w14:textId="190448CE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856" w:type="pct"/>
            <w:noWrap/>
          </w:tcPr>
          <w:p w14:paraId="2064104C" w14:textId="362FC311" w:rsidR="00B23ABD" w:rsidRPr="00104174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227</w:t>
            </w:r>
          </w:p>
        </w:tc>
        <w:tc>
          <w:tcPr>
            <w:tcW w:w="984" w:type="pct"/>
            <w:noWrap/>
          </w:tcPr>
          <w:p w14:paraId="39D1E909" w14:textId="4333CCD1" w:rsidR="00B23ABD" w:rsidRPr="006659D6" w:rsidRDefault="00B23ABD" w:rsidP="0088063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2C6F2A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23145968" w14:textId="77777777" w:rsidTr="006659D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3A090B59" w14:textId="74677A51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856" w:type="pct"/>
            <w:noWrap/>
          </w:tcPr>
          <w:p w14:paraId="08052E80" w14:textId="6C280B90" w:rsidR="00B23ABD" w:rsidRPr="00104174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207</w:t>
            </w:r>
          </w:p>
        </w:tc>
        <w:tc>
          <w:tcPr>
            <w:tcW w:w="984" w:type="pct"/>
            <w:noWrap/>
          </w:tcPr>
          <w:p w14:paraId="49D59DD2" w14:textId="0FF0D60E" w:rsidR="00B23ABD" w:rsidRPr="006659D6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6F3B00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678DE" w:rsidRPr="00104174" w14:paraId="774A9321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5D7CB8F3" w14:textId="7C56B980" w:rsidR="00E678DE" w:rsidRPr="00104174" w:rsidRDefault="00D50191" w:rsidP="00E678D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Drugs and Medicine - </w:t>
            </w:r>
            <w:r w:rsidR="00E678DE"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856" w:type="pct"/>
            <w:noWrap/>
          </w:tcPr>
          <w:p w14:paraId="14D039CA" w14:textId="5B86826D" w:rsidR="00E678DE" w:rsidRPr="00104174" w:rsidRDefault="00E678DE" w:rsidP="00E678D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206</w:t>
            </w:r>
          </w:p>
        </w:tc>
        <w:tc>
          <w:tcPr>
            <w:tcW w:w="984" w:type="pct"/>
            <w:noWrap/>
          </w:tcPr>
          <w:p w14:paraId="1345C95C" w14:textId="6C3FE199" w:rsidR="00E678DE" w:rsidRPr="006659D6" w:rsidRDefault="00DC0C9A" w:rsidP="00E678D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D50191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4DF67689" w14:textId="77777777" w:rsidTr="006659D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2E8CBF13" w14:textId="45EF3F5A" w:rsidR="00B23ABD" w:rsidRPr="00104174" w:rsidRDefault="00B23ABD" w:rsidP="0088063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856" w:type="pct"/>
            <w:noWrap/>
          </w:tcPr>
          <w:p w14:paraId="688B0DDF" w14:textId="7805F055" w:rsidR="00B23ABD" w:rsidRPr="00104174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984" w:type="pct"/>
            <w:noWrap/>
          </w:tcPr>
          <w:p w14:paraId="39A01946" w14:textId="2A6EF6AA" w:rsidR="00B23ABD" w:rsidRPr="006659D6" w:rsidRDefault="00B23ABD" w:rsidP="008806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965E4C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1990AFC1" w14:textId="77777777" w:rsidTr="0066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</w:tcPr>
          <w:p w14:paraId="798753D2" w14:textId="1CD4A64F" w:rsidR="00B23ABD" w:rsidRPr="00104174" w:rsidRDefault="00B23ABD" w:rsidP="00966547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856" w:type="pct"/>
            <w:noWrap/>
          </w:tcPr>
          <w:p w14:paraId="57A793E0" w14:textId="325B61C2" w:rsidR="00B23ABD" w:rsidRPr="00104174" w:rsidRDefault="00B23ABD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114</w:t>
            </w:r>
          </w:p>
        </w:tc>
        <w:tc>
          <w:tcPr>
            <w:tcW w:w="984" w:type="pct"/>
            <w:noWrap/>
          </w:tcPr>
          <w:p w14:paraId="52E0EA7D" w14:textId="6DB4DC8C" w:rsidR="00B23ABD" w:rsidRPr="006659D6" w:rsidRDefault="00B23ABD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965E4C"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665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4FE32C5E" w14:textId="77777777" w:rsidTr="006659D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  <w:hideMark/>
          </w:tcPr>
          <w:p w14:paraId="46146214" w14:textId="77777777" w:rsidR="00B23ABD" w:rsidRPr="00104174" w:rsidRDefault="00B23ABD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856" w:type="pct"/>
            <w:noWrap/>
            <w:hideMark/>
          </w:tcPr>
          <w:p w14:paraId="17037189" w14:textId="7EA0870B" w:rsidR="00B23ABD" w:rsidRPr="00104174" w:rsidRDefault="00B23ABD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634</w:t>
            </w:r>
          </w:p>
        </w:tc>
        <w:tc>
          <w:tcPr>
            <w:tcW w:w="984" w:type="pct"/>
            <w:noWrap/>
            <w:hideMark/>
          </w:tcPr>
          <w:p w14:paraId="7A274731" w14:textId="0531D51D" w:rsidR="00B23ABD" w:rsidRPr="00104174" w:rsidRDefault="00B23ABD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 w:rsidR="00C71B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104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23ABD" w:rsidRPr="00104174" w14:paraId="2967B206" w14:textId="77777777" w:rsidTr="00D00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pct"/>
            <w:noWrap/>
            <w:hideMark/>
          </w:tcPr>
          <w:p w14:paraId="0D392BCC" w14:textId="77777777" w:rsidR="00B23ABD" w:rsidRPr="00104174" w:rsidRDefault="00B23ABD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Health Queries</w:t>
            </w:r>
          </w:p>
        </w:tc>
        <w:tc>
          <w:tcPr>
            <w:tcW w:w="856" w:type="pct"/>
            <w:noWrap/>
            <w:hideMark/>
          </w:tcPr>
          <w:p w14:paraId="6551E662" w14:textId="11CE2327" w:rsidR="00B23ABD" w:rsidRPr="00104174" w:rsidRDefault="00B23ABD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5660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6,049</w:t>
            </w:r>
          </w:p>
        </w:tc>
        <w:tc>
          <w:tcPr>
            <w:tcW w:w="984" w:type="pct"/>
            <w:noWrap/>
            <w:hideMark/>
          </w:tcPr>
          <w:p w14:paraId="12001D10" w14:textId="1EDED8E9" w:rsidR="00B23ABD" w:rsidRPr="00104174" w:rsidRDefault="00B23ABD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04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100%</w:t>
            </w:r>
          </w:p>
        </w:tc>
      </w:tr>
    </w:tbl>
    <w:p w14:paraId="144FE613" w14:textId="77777777" w:rsidR="00966547" w:rsidRPr="00104174" w:rsidRDefault="00966547" w:rsidP="00966547"/>
    <w:p w14:paraId="458D799C" w14:textId="0BF7927F" w:rsidR="00EA481C" w:rsidRPr="00104174" w:rsidRDefault="00966547" w:rsidP="00865EC0">
      <w:pPr>
        <w:spacing w:line="240" w:lineRule="auto"/>
        <w:rPr>
          <w:rFonts w:ascii="Calibri" w:hAnsi="Calibri" w:cs="Calibri"/>
          <w:sz w:val="20"/>
          <w:szCs w:val="20"/>
        </w:rPr>
      </w:pPr>
      <w:r w:rsidRPr="00104174">
        <w:rPr>
          <w:b/>
        </w:rPr>
        <w:t xml:space="preserve">* </w:t>
      </w:r>
      <w:r w:rsidR="00D376CA">
        <w:rPr>
          <w:b/>
        </w:rPr>
        <w:t>‘</w:t>
      </w:r>
      <w:r w:rsidR="001210D2" w:rsidRPr="00104174">
        <w:rPr>
          <w:rFonts w:ascii="Calibri" w:hAnsi="Calibri" w:cs="Calibri"/>
          <w:sz w:val="20"/>
          <w:szCs w:val="20"/>
        </w:rPr>
        <w:t>All other sub-categories</w:t>
      </w:r>
      <w:r w:rsidR="00D376CA">
        <w:rPr>
          <w:rFonts w:ascii="Calibri" w:hAnsi="Calibri" w:cs="Calibri"/>
          <w:sz w:val="20"/>
          <w:szCs w:val="20"/>
        </w:rPr>
        <w:t>’</w:t>
      </w:r>
      <w:r w:rsidRPr="00104174">
        <w:rPr>
          <w:rFonts w:ascii="Calibri" w:hAnsi="Calibri" w:cs="Calibri"/>
          <w:sz w:val="20"/>
          <w:szCs w:val="20"/>
        </w:rPr>
        <w:t xml:space="preserve"> include</w:t>
      </w:r>
      <w:r w:rsidR="00D376CA">
        <w:rPr>
          <w:rFonts w:ascii="Calibri" w:hAnsi="Calibri" w:cs="Calibri"/>
          <w:sz w:val="20"/>
          <w:szCs w:val="20"/>
        </w:rPr>
        <w:t>s</w:t>
      </w:r>
      <w:r w:rsidR="001210D2" w:rsidRPr="00104174">
        <w:rPr>
          <w:rFonts w:ascii="Calibri" w:hAnsi="Calibri" w:cs="Calibri"/>
          <w:sz w:val="20"/>
          <w:szCs w:val="20"/>
        </w:rPr>
        <w:t xml:space="preserve"> the following query areas: </w:t>
      </w:r>
      <w:r w:rsidRPr="00104174">
        <w:rPr>
          <w:rFonts w:ascii="Calibri" w:hAnsi="Calibri" w:cs="Calibri"/>
          <w:sz w:val="20"/>
          <w:szCs w:val="20"/>
        </w:rPr>
        <w:t xml:space="preserve"> </w:t>
      </w:r>
      <w:r w:rsidR="00360851" w:rsidRPr="00104174">
        <w:rPr>
          <w:rFonts w:ascii="Calibri" w:hAnsi="Calibri" w:cs="Calibri"/>
          <w:sz w:val="20"/>
          <w:szCs w:val="20"/>
        </w:rPr>
        <w:t>Entitlements to Health Services</w:t>
      </w:r>
      <w:r w:rsidRPr="00104174">
        <w:rPr>
          <w:rFonts w:ascii="Calibri" w:hAnsi="Calibri" w:cs="Calibri"/>
          <w:sz w:val="20"/>
          <w:szCs w:val="20"/>
        </w:rPr>
        <w:t xml:space="preserve">, </w:t>
      </w:r>
      <w:r w:rsidR="00360851" w:rsidRPr="00104174">
        <w:rPr>
          <w:rFonts w:ascii="Calibri" w:hAnsi="Calibri" w:cs="Calibri"/>
          <w:sz w:val="20"/>
          <w:szCs w:val="20"/>
        </w:rPr>
        <w:t>Legal Matters and Health</w:t>
      </w:r>
      <w:r w:rsidRPr="00104174">
        <w:rPr>
          <w:rFonts w:ascii="Calibri" w:hAnsi="Calibri" w:cs="Calibri"/>
          <w:sz w:val="20"/>
          <w:szCs w:val="20"/>
        </w:rPr>
        <w:t xml:space="preserve">, </w:t>
      </w:r>
      <w:r w:rsidR="00360851" w:rsidRPr="00104174">
        <w:rPr>
          <w:rFonts w:ascii="Calibri" w:hAnsi="Calibri" w:cs="Calibri"/>
          <w:sz w:val="20"/>
          <w:szCs w:val="20"/>
        </w:rPr>
        <w:t>Children’s Health</w:t>
      </w:r>
      <w:r w:rsidR="0028323B" w:rsidRPr="00104174">
        <w:rPr>
          <w:rFonts w:ascii="Calibri" w:hAnsi="Calibri" w:cs="Calibri"/>
          <w:sz w:val="20"/>
          <w:szCs w:val="20"/>
        </w:rPr>
        <w:t xml:space="preserve">, Health-Related Benefits and Entitlements, </w:t>
      </w:r>
      <w:r w:rsidR="00360851" w:rsidRPr="00104174">
        <w:rPr>
          <w:rFonts w:ascii="Calibri" w:hAnsi="Calibri" w:cs="Calibri"/>
          <w:sz w:val="20"/>
          <w:szCs w:val="20"/>
        </w:rPr>
        <w:t>Cancer Services</w:t>
      </w:r>
      <w:r w:rsidRPr="00104174">
        <w:rPr>
          <w:rFonts w:ascii="Calibri" w:hAnsi="Calibri" w:cs="Calibri"/>
          <w:sz w:val="20"/>
          <w:szCs w:val="20"/>
        </w:rPr>
        <w:t>,</w:t>
      </w:r>
      <w:r w:rsidR="0028323B" w:rsidRPr="00104174">
        <w:rPr>
          <w:rFonts w:ascii="Calibri" w:hAnsi="Calibri" w:cs="Calibri"/>
          <w:sz w:val="20"/>
          <w:szCs w:val="20"/>
        </w:rPr>
        <w:t xml:space="preserve"> Aids and Appliances,</w:t>
      </w:r>
      <w:r w:rsidRPr="00104174">
        <w:rPr>
          <w:rFonts w:ascii="Calibri" w:hAnsi="Calibri" w:cs="Calibri"/>
          <w:sz w:val="20"/>
          <w:szCs w:val="20"/>
        </w:rPr>
        <w:t xml:space="preserve"> </w:t>
      </w:r>
      <w:r w:rsidR="00360851" w:rsidRPr="00104174">
        <w:rPr>
          <w:rFonts w:ascii="Calibri" w:hAnsi="Calibri" w:cs="Calibri"/>
          <w:sz w:val="20"/>
          <w:szCs w:val="20"/>
        </w:rPr>
        <w:t>Health Services Agencies</w:t>
      </w:r>
      <w:r w:rsidRPr="00104174">
        <w:rPr>
          <w:rFonts w:ascii="Calibri" w:hAnsi="Calibri" w:cs="Calibri"/>
          <w:sz w:val="20"/>
          <w:szCs w:val="20"/>
        </w:rPr>
        <w:t xml:space="preserve">, </w:t>
      </w:r>
      <w:r w:rsidR="00270733" w:rsidRPr="00104174">
        <w:rPr>
          <w:rFonts w:ascii="Calibri" w:hAnsi="Calibri" w:cs="Calibri"/>
          <w:sz w:val="20"/>
          <w:szCs w:val="20"/>
        </w:rPr>
        <w:t>Alcohol and Drug Treatment Services</w:t>
      </w:r>
      <w:r w:rsidRPr="00104174">
        <w:rPr>
          <w:rFonts w:ascii="Calibri" w:hAnsi="Calibri" w:cs="Calibri"/>
          <w:sz w:val="20"/>
          <w:szCs w:val="20"/>
        </w:rPr>
        <w:t xml:space="preserve">, </w:t>
      </w:r>
      <w:r w:rsidR="00270733" w:rsidRPr="00104174">
        <w:rPr>
          <w:rFonts w:ascii="Calibri" w:hAnsi="Calibri" w:cs="Calibri"/>
          <w:sz w:val="20"/>
          <w:szCs w:val="20"/>
        </w:rPr>
        <w:t>Emergency Health Services</w:t>
      </w:r>
      <w:r w:rsidRPr="00104174">
        <w:rPr>
          <w:rFonts w:ascii="Calibri" w:hAnsi="Calibri" w:cs="Calibri"/>
          <w:sz w:val="20"/>
          <w:szCs w:val="20"/>
        </w:rPr>
        <w:t>,</w:t>
      </w:r>
      <w:r w:rsidR="00360851" w:rsidRPr="00104174">
        <w:rPr>
          <w:rFonts w:ascii="Calibri" w:hAnsi="Calibri" w:cs="Calibri"/>
          <w:sz w:val="20"/>
          <w:szCs w:val="20"/>
        </w:rPr>
        <w:t xml:space="preserve"> Pharmacy Services, Women’s Health</w:t>
      </w:r>
      <w:r w:rsidRPr="00104174">
        <w:rPr>
          <w:rFonts w:ascii="Calibri" w:hAnsi="Calibri" w:cs="Calibri"/>
          <w:sz w:val="20"/>
          <w:szCs w:val="20"/>
        </w:rPr>
        <w:t xml:space="preserve">, </w:t>
      </w:r>
      <w:r w:rsidR="00D376CA">
        <w:rPr>
          <w:rFonts w:ascii="Calibri" w:hAnsi="Calibri" w:cs="Calibri"/>
          <w:sz w:val="20"/>
          <w:szCs w:val="20"/>
        </w:rPr>
        <w:t>H</w:t>
      </w:r>
      <w:r w:rsidR="00D376CA" w:rsidRPr="00104174">
        <w:rPr>
          <w:rFonts w:ascii="Calibri" w:hAnsi="Calibri" w:cs="Calibri"/>
          <w:sz w:val="20"/>
          <w:szCs w:val="20"/>
        </w:rPr>
        <w:t xml:space="preserve">ow </w:t>
      </w:r>
      <w:r w:rsidR="00360851" w:rsidRPr="00104174">
        <w:rPr>
          <w:rFonts w:ascii="Calibri" w:hAnsi="Calibri" w:cs="Calibri"/>
          <w:sz w:val="20"/>
          <w:szCs w:val="20"/>
        </w:rPr>
        <w:t>Health Services are Organised</w:t>
      </w:r>
      <w:r w:rsidRPr="00104174">
        <w:rPr>
          <w:rFonts w:ascii="Calibri" w:hAnsi="Calibri" w:cs="Calibri"/>
          <w:sz w:val="20"/>
          <w:szCs w:val="20"/>
        </w:rPr>
        <w:t>,</w:t>
      </w:r>
      <w:r w:rsidR="0028323B" w:rsidRPr="00104174">
        <w:rPr>
          <w:rFonts w:ascii="Calibri" w:hAnsi="Calibri" w:cs="Calibri"/>
          <w:sz w:val="20"/>
          <w:szCs w:val="20"/>
        </w:rPr>
        <w:t xml:space="preserve"> </w:t>
      </w:r>
      <w:r w:rsidR="00360851" w:rsidRPr="00104174">
        <w:rPr>
          <w:rFonts w:ascii="Calibri" w:hAnsi="Calibri" w:cs="Calibri"/>
          <w:sz w:val="20"/>
          <w:szCs w:val="20"/>
        </w:rPr>
        <w:t>Environmental</w:t>
      </w:r>
      <w:r w:rsidR="0028323B" w:rsidRPr="00104174">
        <w:rPr>
          <w:rFonts w:ascii="Calibri" w:hAnsi="Calibri" w:cs="Calibri"/>
          <w:sz w:val="20"/>
          <w:szCs w:val="20"/>
        </w:rPr>
        <w:t xml:space="preserve"> Health, </w:t>
      </w:r>
      <w:r w:rsidR="00270733" w:rsidRPr="00104174">
        <w:rPr>
          <w:rFonts w:ascii="Calibri" w:hAnsi="Calibri" w:cs="Calibri"/>
          <w:sz w:val="20"/>
          <w:szCs w:val="20"/>
        </w:rPr>
        <w:t>Blood and Organ Donation</w:t>
      </w:r>
      <w:r w:rsidR="00814EAB" w:rsidRPr="00104174">
        <w:rPr>
          <w:rFonts w:ascii="Calibri" w:hAnsi="Calibri" w:cs="Calibri"/>
          <w:sz w:val="20"/>
          <w:szCs w:val="20"/>
        </w:rPr>
        <w:t>,</w:t>
      </w:r>
      <w:r w:rsidR="00D376CA">
        <w:rPr>
          <w:rFonts w:ascii="Calibri" w:hAnsi="Calibri" w:cs="Calibri"/>
          <w:sz w:val="20"/>
          <w:szCs w:val="20"/>
        </w:rPr>
        <w:t xml:space="preserve"> and</w:t>
      </w:r>
      <w:r w:rsidR="00814EAB" w:rsidRPr="00104174">
        <w:rPr>
          <w:rFonts w:ascii="Calibri" w:hAnsi="Calibri" w:cs="Calibri"/>
          <w:sz w:val="20"/>
          <w:szCs w:val="20"/>
        </w:rPr>
        <w:t xml:space="preserve"> </w:t>
      </w:r>
      <w:r w:rsidR="00360851" w:rsidRPr="00104174">
        <w:rPr>
          <w:rFonts w:ascii="Calibri" w:hAnsi="Calibri" w:cs="Calibri"/>
          <w:sz w:val="20"/>
          <w:szCs w:val="20"/>
        </w:rPr>
        <w:t>Alternative Health</w:t>
      </w:r>
      <w:r w:rsidR="005A3512" w:rsidRPr="00104174">
        <w:rPr>
          <w:rFonts w:ascii="Calibri" w:hAnsi="Calibri" w:cs="Calibri"/>
          <w:sz w:val="20"/>
          <w:szCs w:val="20"/>
        </w:rPr>
        <w:t>.</w:t>
      </w:r>
    </w:p>
    <w:p w14:paraId="496B8938" w14:textId="61EDA697" w:rsidR="00CD4482" w:rsidRDefault="00CD4482">
      <w:pPr>
        <w:spacing w:line="259" w:lineRule="auto"/>
        <w:rPr>
          <w:rFonts w:ascii="Calibri" w:hAnsi="Calibri" w:cs="Calibri"/>
          <w:b/>
          <w:lang w:val="en-US"/>
        </w:rPr>
      </w:pPr>
    </w:p>
    <w:sectPr w:rsidR="00CD4482" w:rsidSect="0043240B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6427" w14:textId="77777777" w:rsidR="00F26FD5" w:rsidRPr="00104174" w:rsidRDefault="00F26FD5" w:rsidP="00B60276">
      <w:pPr>
        <w:spacing w:after="0" w:line="240" w:lineRule="auto"/>
      </w:pPr>
      <w:r w:rsidRPr="00104174">
        <w:separator/>
      </w:r>
    </w:p>
  </w:endnote>
  <w:endnote w:type="continuationSeparator" w:id="0">
    <w:p w14:paraId="6AA3FE93" w14:textId="77777777" w:rsidR="00F26FD5" w:rsidRPr="00104174" w:rsidRDefault="00F26FD5" w:rsidP="00B60276">
      <w:pPr>
        <w:spacing w:after="0" w:line="240" w:lineRule="auto"/>
      </w:pPr>
      <w:r w:rsidRPr="00104174">
        <w:continuationSeparator/>
      </w:r>
    </w:p>
  </w:endnote>
  <w:endnote w:type="continuationNotice" w:id="1">
    <w:p w14:paraId="77475AF6" w14:textId="77777777" w:rsidR="00F26FD5" w:rsidRPr="00104174" w:rsidRDefault="00F26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900264"/>
      <w:docPartObj>
        <w:docPartGallery w:val="Page Numbers (Bottom of Page)"/>
        <w:docPartUnique/>
      </w:docPartObj>
    </w:sdtPr>
    <w:sdtEndPr/>
    <w:sdtContent>
      <w:p w14:paraId="2126BD61" w14:textId="03693C9E" w:rsidR="00801E2B" w:rsidRPr="00104174" w:rsidRDefault="00801E2B">
        <w:pPr>
          <w:jc w:val="right"/>
        </w:pPr>
        <w:r w:rsidRPr="00104174">
          <w:fldChar w:fldCharType="begin"/>
        </w:r>
        <w:r w:rsidRPr="00104174">
          <w:instrText xml:space="preserve"> PAGE   \* MERGEFORMAT </w:instrText>
        </w:r>
        <w:r w:rsidRPr="00104174">
          <w:fldChar w:fldCharType="separate"/>
        </w:r>
        <w:r w:rsidR="00AD30F2" w:rsidRPr="00104174">
          <w:t>1</w:t>
        </w:r>
        <w:r w:rsidRPr="00104174">
          <w:fldChar w:fldCharType="end"/>
        </w:r>
      </w:p>
    </w:sdtContent>
  </w:sdt>
  <w:p w14:paraId="663BEEA1" w14:textId="77777777" w:rsidR="00801E2B" w:rsidRPr="00104174" w:rsidRDefault="00801E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D761" w14:textId="77777777" w:rsidR="00F26FD5" w:rsidRPr="00104174" w:rsidRDefault="00F26FD5" w:rsidP="00B60276">
      <w:pPr>
        <w:spacing w:after="0" w:line="240" w:lineRule="auto"/>
      </w:pPr>
      <w:r w:rsidRPr="00104174">
        <w:separator/>
      </w:r>
    </w:p>
  </w:footnote>
  <w:footnote w:type="continuationSeparator" w:id="0">
    <w:p w14:paraId="2AAFFE83" w14:textId="77777777" w:rsidR="00F26FD5" w:rsidRPr="00104174" w:rsidRDefault="00F26FD5" w:rsidP="00B60276">
      <w:pPr>
        <w:spacing w:after="0" w:line="240" w:lineRule="auto"/>
      </w:pPr>
      <w:r w:rsidRPr="00104174">
        <w:continuationSeparator/>
      </w:r>
    </w:p>
  </w:footnote>
  <w:footnote w:type="continuationNotice" w:id="1">
    <w:p w14:paraId="3C1173F2" w14:textId="77777777" w:rsidR="00F26FD5" w:rsidRPr="00104174" w:rsidRDefault="00F26FD5">
      <w:pPr>
        <w:spacing w:after="0" w:line="240" w:lineRule="auto"/>
      </w:pPr>
    </w:p>
  </w:footnote>
  <w:footnote w:id="2">
    <w:p w14:paraId="09A13D5F" w14:textId="66C087AF" w:rsidR="00801E2B" w:rsidRPr="00104174" w:rsidRDefault="00801E2B">
      <w:pPr>
        <w:pStyle w:val="FootnoteText"/>
      </w:pPr>
      <w:r w:rsidRPr="00104174">
        <w:rPr>
          <w:rStyle w:val="FootnoteReference"/>
        </w:rPr>
        <w:footnoteRef/>
      </w:r>
      <w:r w:rsidRPr="00104174">
        <w:t xml:space="preserve"> Local Queries, which are the 4</w:t>
      </w:r>
      <w:r w:rsidRPr="00104174">
        <w:rPr>
          <w:vertAlign w:val="superscript"/>
        </w:rPr>
        <w:t>th</w:t>
      </w:r>
      <w:r w:rsidRPr="00104174">
        <w:t xml:space="preserve"> highest category are not profiled in detail in these reports as they relate mainly to signposting to local services. </w:t>
      </w:r>
    </w:p>
  </w:footnote>
  <w:footnote w:id="3">
    <w:p w14:paraId="1C637788" w14:textId="2E98EF3E" w:rsidR="00801E2B" w:rsidRPr="00104174" w:rsidRDefault="00801E2B">
      <w:pPr>
        <w:pStyle w:val="FootnoteText"/>
      </w:pPr>
      <w:r w:rsidRPr="00104174">
        <w:rPr>
          <w:rStyle w:val="FootnoteReference"/>
        </w:rPr>
        <w:footnoteRef/>
      </w:r>
      <w:r w:rsidRPr="00104174">
        <w:t xml:space="preserve"> Quarterly query trends are </w:t>
      </w:r>
      <w:r w:rsidRPr="00104174">
        <w:rPr>
          <w:u w:val="single"/>
        </w:rPr>
        <w:t>not</w:t>
      </w:r>
      <w:r w:rsidRPr="00104174">
        <w:t xml:space="preserve"> indicative of trends for a full year’s dataset – changes and patterns reflected from quarter to quarter may balance out over a year. </w:t>
      </w:r>
    </w:p>
    <w:p w14:paraId="050EB574" w14:textId="7B7CB42F" w:rsidR="00801E2B" w:rsidRPr="00104174" w:rsidRDefault="00801E2B">
      <w:pPr>
        <w:pStyle w:val="FootnoteText"/>
      </w:pPr>
      <w:r w:rsidRPr="00104174">
        <w:rPr>
          <w:rStyle w:val="FootnoteReference"/>
        </w:rPr>
        <w:t>2</w:t>
      </w:r>
      <w:r w:rsidRPr="00104174">
        <w:t xml:space="preserve"> The percentage changes captured in this report reflect comparisons between Q2 202</w:t>
      </w:r>
      <w:r w:rsidR="003D68BF">
        <w:t>3</w:t>
      </w:r>
      <w:r w:rsidRPr="00104174">
        <w:t xml:space="preserve"> and Q2 202</w:t>
      </w:r>
      <w:r w:rsidR="003D68BF">
        <w:t>4</w:t>
      </w:r>
      <w:r w:rsidRPr="00104174">
        <w:t xml:space="preserve"> unless otherwise specified.</w:t>
      </w:r>
    </w:p>
    <w:p w14:paraId="419EC540" w14:textId="268F7765" w:rsidR="00801E2B" w:rsidRDefault="00801E2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80FA" w14:textId="3800C3AB" w:rsidR="00801E2B" w:rsidRPr="00104174" w:rsidRDefault="00801E2B">
    <w:pPr>
      <w:pStyle w:val="Header"/>
    </w:pPr>
  </w:p>
  <w:p w14:paraId="105F5875" w14:textId="77777777" w:rsidR="00801E2B" w:rsidRPr="00104174" w:rsidRDefault="00801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4B6"/>
    <w:multiLevelType w:val="hybridMultilevel"/>
    <w:tmpl w:val="D1A05C72"/>
    <w:lvl w:ilvl="0" w:tplc="E4620DC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62BA"/>
    <w:multiLevelType w:val="hybridMultilevel"/>
    <w:tmpl w:val="FAF63BD8"/>
    <w:lvl w:ilvl="0" w:tplc="CB10A7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24AAD"/>
    <w:multiLevelType w:val="hybridMultilevel"/>
    <w:tmpl w:val="D812C6C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7C09"/>
    <w:multiLevelType w:val="hybridMultilevel"/>
    <w:tmpl w:val="DEC6D63A"/>
    <w:lvl w:ilvl="0" w:tplc="5852A476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65CC"/>
    <w:multiLevelType w:val="hybridMultilevel"/>
    <w:tmpl w:val="2056EB6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F976975"/>
    <w:multiLevelType w:val="hybridMultilevel"/>
    <w:tmpl w:val="EC864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11378"/>
    <w:multiLevelType w:val="hybridMultilevel"/>
    <w:tmpl w:val="76FAF436"/>
    <w:lvl w:ilvl="0" w:tplc="C0701B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E550E"/>
    <w:multiLevelType w:val="hybridMultilevel"/>
    <w:tmpl w:val="443E4948"/>
    <w:lvl w:ilvl="0" w:tplc="5B16DE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76400"/>
    <w:multiLevelType w:val="hybridMultilevel"/>
    <w:tmpl w:val="2644435C"/>
    <w:lvl w:ilvl="0" w:tplc="7B8408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9734">
    <w:abstractNumId w:val="8"/>
  </w:num>
  <w:num w:numId="2" w16cid:durableId="1864200331">
    <w:abstractNumId w:val="6"/>
  </w:num>
  <w:num w:numId="3" w16cid:durableId="921336352">
    <w:abstractNumId w:val="2"/>
  </w:num>
  <w:num w:numId="4" w16cid:durableId="679048933">
    <w:abstractNumId w:val="3"/>
  </w:num>
  <w:num w:numId="5" w16cid:durableId="1944455628">
    <w:abstractNumId w:val="7"/>
  </w:num>
  <w:num w:numId="6" w16cid:durableId="420225822">
    <w:abstractNumId w:val="9"/>
  </w:num>
  <w:num w:numId="7" w16cid:durableId="264771724">
    <w:abstractNumId w:val="12"/>
  </w:num>
  <w:num w:numId="8" w16cid:durableId="1370301615">
    <w:abstractNumId w:val="11"/>
  </w:num>
  <w:num w:numId="9" w16cid:durableId="460265077">
    <w:abstractNumId w:val="5"/>
  </w:num>
  <w:num w:numId="10" w16cid:durableId="1037966539">
    <w:abstractNumId w:val="0"/>
  </w:num>
  <w:num w:numId="11" w16cid:durableId="1387291869">
    <w:abstractNumId w:val="13"/>
  </w:num>
  <w:num w:numId="12" w16cid:durableId="1649675503">
    <w:abstractNumId w:val="10"/>
  </w:num>
  <w:num w:numId="13" w16cid:durableId="1557933214">
    <w:abstractNumId w:val="1"/>
  </w:num>
  <w:num w:numId="14" w16cid:durableId="805853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zU2NDU3sjAyNDFX0lEKTi0uzszPAykwrwUAudqNgiwAAAA="/>
  </w:docVars>
  <w:rsids>
    <w:rsidRoot w:val="00AA4D85"/>
    <w:rsid w:val="00000C79"/>
    <w:rsid w:val="000047DA"/>
    <w:rsid w:val="000048CD"/>
    <w:rsid w:val="00004B7C"/>
    <w:rsid w:val="00006F84"/>
    <w:rsid w:val="0000767E"/>
    <w:rsid w:val="0001123B"/>
    <w:rsid w:val="000137E1"/>
    <w:rsid w:val="000155CD"/>
    <w:rsid w:val="00016EC0"/>
    <w:rsid w:val="00017FD5"/>
    <w:rsid w:val="000215F6"/>
    <w:rsid w:val="00022929"/>
    <w:rsid w:val="00024A58"/>
    <w:rsid w:val="000377CE"/>
    <w:rsid w:val="00040905"/>
    <w:rsid w:val="00041720"/>
    <w:rsid w:val="0004374B"/>
    <w:rsid w:val="00043893"/>
    <w:rsid w:val="000456BA"/>
    <w:rsid w:val="00045E4D"/>
    <w:rsid w:val="000504B2"/>
    <w:rsid w:val="0005177E"/>
    <w:rsid w:val="00052939"/>
    <w:rsid w:val="00053348"/>
    <w:rsid w:val="00054303"/>
    <w:rsid w:val="00054B82"/>
    <w:rsid w:val="00054DC5"/>
    <w:rsid w:val="00055654"/>
    <w:rsid w:val="00057387"/>
    <w:rsid w:val="00063272"/>
    <w:rsid w:val="0006478A"/>
    <w:rsid w:val="000724E2"/>
    <w:rsid w:val="00072957"/>
    <w:rsid w:val="00074AE2"/>
    <w:rsid w:val="00076968"/>
    <w:rsid w:val="000831D6"/>
    <w:rsid w:val="00085425"/>
    <w:rsid w:val="00086128"/>
    <w:rsid w:val="00086782"/>
    <w:rsid w:val="00090CC5"/>
    <w:rsid w:val="00094B69"/>
    <w:rsid w:val="000A0320"/>
    <w:rsid w:val="000A1592"/>
    <w:rsid w:val="000A52C7"/>
    <w:rsid w:val="000A6757"/>
    <w:rsid w:val="000A6DBE"/>
    <w:rsid w:val="000B3695"/>
    <w:rsid w:val="000B6021"/>
    <w:rsid w:val="000B73BE"/>
    <w:rsid w:val="000B7B38"/>
    <w:rsid w:val="000C11CE"/>
    <w:rsid w:val="000C5016"/>
    <w:rsid w:val="000C6851"/>
    <w:rsid w:val="000D124F"/>
    <w:rsid w:val="000D4AEE"/>
    <w:rsid w:val="000D4E45"/>
    <w:rsid w:val="000D5F49"/>
    <w:rsid w:val="000D6C36"/>
    <w:rsid w:val="000D7AE9"/>
    <w:rsid w:val="000E4D40"/>
    <w:rsid w:val="000E56D7"/>
    <w:rsid w:val="000F1F54"/>
    <w:rsid w:val="000F23F0"/>
    <w:rsid w:val="000F3F7D"/>
    <w:rsid w:val="000F45BF"/>
    <w:rsid w:val="000F6E79"/>
    <w:rsid w:val="00100AF0"/>
    <w:rsid w:val="00102F78"/>
    <w:rsid w:val="00103344"/>
    <w:rsid w:val="0010372E"/>
    <w:rsid w:val="00104174"/>
    <w:rsid w:val="00104C55"/>
    <w:rsid w:val="00107F93"/>
    <w:rsid w:val="001124B6"/>
    <w:rsid w:val="00112785"/>
    <w:rsid w:val="00115404"/>
    <w:rsid w:val="00115D38"/>
    <w:rsid w:val="00116AE7"/>
    <w:rsid w:val="00120262"/>
    <w:rsid w:val="001210D2"/>
    <w:rsid w:val="00121837"/>
    <w:rsid w:val="001267A7"/>
    <w:rsid w:val="00126AD3"/>
    <w:rsid w:val="00130FAF"/>
    <w:rsid w:val="00135E99"/>
    <w:rsid w:val="001408B9"/>
    <w:rsid w:val="00143757"/>
    <w:rsid w:val="001456D4"/>
    <w:rsid w:val="00150617"/>
    <w:rsid w:val="00150BE9"/>
    <w:rsid w:val="00151717"/>
    <w:rsid w:val="001557B3"/>
    <w:rsid w:val="001561BC"/>
    <w:rsid w:val="00157C1C"/>
    <w:rsid w:val="001614C8"/>
    <w:rsid w:val="00161E72"/>
    <w:rsid w:val="0016241B"/>
    <w:rsid w:val="00163692"/>
    <w:rsid w:val="001673A7"/>
    <w:rsid w:val="00170C11"/>
    <w:rsid w:val="00171D94"/>
    <w:rsid w:val="00175BE8"/>
    <w:rsid w:val="00177DF7"/>
    <w:rsid w:val="00180F64"/>
    <w:rsid w:val="00184F17"/>
    <w:rsid w:val="00187ECE"/>
    <w:rsid w:val="00193734"/>
    <w:rsid w:val="001A0FFC"/>
    <w:rsid w:val="001A1A4D"/>
    <w:rsid w:val="001A2AAF"/>
    <w:rsid w:val="001B2C9F"/>
    <w:rsid w:val="001B778B"/>
    <w:rsid w:val="001C4F04"/>
    <w:rsid w:val="001D0045"/>
    <w:rsid w:val="001D1D44"/>
    <w:rsid w:val="001D24FC"/>
    <w:rsid w:val="001D27AB"/>
    <w:rsid w:val="001D2E9E"/>
    <w:rsid w:val="001E098B"/>
    <w:rsid w:val="001E5307"/>
    <w:rsid w:val="001F0770"/>
    <w:rsid w:val="001F0BA6"/>
    <w:rsid w:val="001F306B"/>
    <w:rsid w:val="001F4BD8"/>
    <w:rsid w:val="001F64A6"/>
    <w:rsid w:val="001F7146"/>
    <w:rsid w:val="00203045"/>
    <w:rsid w:val="00203E25"/>
    <w:rsid w:val="0020681F"/>
    <w:rsid w:val="00210884"/>
    <w:rsid w:val="00211E88"/>
    <w:rsid w:val="0021266C"/>
    <w:rsid w:val="00212807"/>
    <w:rsid w:val="0021448C"/>
    <w:rsid w:val="00214600"/>
    <w:rsid w:val="00215C3B"/>
    <w:rsid w:val="00216370"/>
    <w:rsid w:val="002233AA"/>
    <w:rsid w:val="002233FD"/>
    <w:rsid w:val="0022468D"/>
    <w:rsid w:val="00226FB6"/>
    <w:rsid w:val="00227BB8"/>
    <w:rsid w:val="00230F52"/>
    <w:rsid w:val="0023523A"/>
    <w:rsid w:val="00241D53"/>
    <w:rsid w:val="0024203C"/>
    <w:rsid w:val="00242598"/>
    <w:rsid w:val="00242E0C"/>
    <w:rsid w:val="002466BE"/>
    <w:rsid w:val="002467D2"/>
    <w:rsid w:val="00250D8C"/>
    <w:rsid w:val="00251A40"/>
    <w:rsid w:val="00255130"/>
    <w:rsid w:val="002555D1"/>
    <w:rsid w:val="00255AE4"/>
    <w:rsid w:val="00256F46"/>
    <w:rsid w:val="00260316"/>
    <w:rsid w:val="002608C0"/>
    <w:rsid w:val="0026179C"/>
    <w:rsid w:val="00261A00"/>
    <w:rsid w:val="00262804"/>
    <w:rsid w:val="0026325F"/>
    <w:rsid w:val="00265925"/>
    <w:rsid w:val="00265EEF"/>
    <w:rsid w:val="00266291"/>
    <w:rsid w:val="00267780"/>
    <w:rsid w:val="00270733"/>
    <w:rsid w:val="00271274"/>
    <w:rsid w:val="00271F29"/>
    <w:rsid w:val="00272099"/>
    <w:rsid w:val="00272525"/>
    <w:rsid w:val="00274148"/>
    <w:rsid w:val="00277A6B"/>
    <w:rsid w:val="0028323B"/>
    <w:rsid w:val="002919AD"/>
    <w:rsid w:val="00295C6D"/>
    <w:rsid w:val="002A1663"/>
    <w:rsid w:val="002A1A16"/>
    <w:rsid w:val="002A33D0"/>
    <w:rsid w:val="002B5D5D"/>
    <w:rsid w:val="002C35F1"/>
    <w:rsid w:val="002C3AAF"/>
    <w:rsid w:val="002C4720"/>
    <w:rsid w:val="002C5B47"/>
    <w:rsid w:val="002C6ED0"/>
    <w:rsid w:val="002C6F2A"/>
    <w:rsid w:val="002D491C"/>
    <w:rsid w:val="002D4A94"/>
    <w:rsid w:val="002E12DC"/>
    <w:rsid w:val="002E2253"/>
    <w:rsid w:val="002E38D9"/>
    <w:rsid w:val="002F150C"/>
    <w:rsid w:val="002F4525"/>
    <w:rsid w:val="002F50AD"/>
    <w:rsid w:val="002F5455"/>
    <w:rsid w:val="002F666E"/>
    <w:rsid w:val="002F75DD"/>
    <w:rsid w:val="003010FB"/>
    <w:rsid w:val="00302613"/>
    <w:rsid w:val="00303EE2"/>
    <w:rsid w:val="00311090"/>
    <w:rsid w:val="00312139"/>
    <w:rsid w:val="003128CB"/>
    <w:rsid w:val="00313877"/>
    <w:rsid w:val="00314BFB"/>
    <w:rsid w:val="00315A0E"/>
    <w:rsid w:val="00317E81"/>
    <w:rsid w:val="003202C5"/>
    <w:rsid w:val="00322032"/>
    <w:rsid w:val="00325B1D"/>
    <w:rsid w:val="00326456"/>
    <w:rsid w:val="003269F0"/>
    <w:rsid w:val="003272C3"/>
    <w:rsid w:val="00327416"/>
    <w:rsid w:val="00333C4F"/>
    <w:rsid w:val="00341D47"/>
    <w:rsid w:val="003433AB"/>
    <w:rsid w:val="003465A2"/>
    <w:rsid w:val="00346904"/>
    <w:rsid w:val="00346CAC"/>
    <w:rsid w:val="00347F93"/>
    <w:rsid w:val="00350B7D"/>
    <w:rsid w:val="00352248"/>
    <w:rsid w:val="00353DC5"/>
    <w:rsid w:val="00354D73"/>
    <w:rsid w:val="0035508C"/>
    <w:rsid w:val="00356F3D"/>
    <w:rsid w:val="00360851"/>
    <w:rsid w:val="00361EF3"/>
    <w:rsid w:val="003640E9"/>
    <w:rsid w:val="0036478E"/>
    <w:rsid w:val="00371D4E"/>
    <w:rsid w:val="00371F53"/>
    <w:rsid w:val="0037377C"/>
    <w:rsid w:val="00373F93"/>
    <w:rsid w:val="00380507"/>
    <w:rsid w:val="003830F7"/>
    <w:rsid w:val="00383130"/>
    <w:rsid w:val="0038756F"/>
    <w:rsid w:val="0038793B"/>
    <w:rsid w:val="00391512"/>
    <w:rsid w:val="00395290"/>
    <w:rsid w:val="003962BF"/>
    <w:rsid w:val="003A3318"/>
    <w:rsid w:val="003A37CD"/>
    <w:rsid w:val="003A4738"/>
    <w:rsid w:val="003A50C6"/>
    <w:rsid w:val="003A548B"/>
    <w:rsid w:val="003A6618"/>
    <w:rsid w:val="003B3D84"/>
    <w:rsid w:val="003B6F9E"/>
    <w:rsid w:val="003B7A31"/>
    <w:rsid w:val="003C2904"/>
    <w:rsid w:val="003C36C5"/>
    <w:rsid w:val="003C5906"/>
    <w:rsid w:val="003C671A"/>
    <w:rsid w:val="003C7149"/>
    <w:rsid w:val="003D68BF"/>
    <w:rsid w:val="003D77C9"/>
    <w:rsid w:val="003E211A"/>
    <w:rsid w:val="003E6033"/>
    <w:rsid w:val="003F0AF3"/>
    <w:rsid w:val="00400BC6"/>
    <w:rsid w:val="00407318"/>
    <w:rsid w:val="00410CC8"/>
    <w:rsid w:val="00412A22"/>
    <w:rsid w:val="00413B36"/>
    <w:rsid w:val="00415421"/>
    <w:rsid w:val="004175AD"/>
    <w:rsid w:val="004267EC"/>
    <w:rsid w:val="004272D5"/>
    <w:rsid w:val="0043240B"/>
    <w:rsid w:val="004349C8"/>
    <w:rsid w:val="00436F3A"/>
    <w:rsid w:val="0044140F"/>
    <w:rsid w:val="00441446"/>
    <w:rsid w:val="00441566"/>
    <w:rsid w:val="004427EC"/>
    <w:rsid w:val="00445E90"/>
    <w:rsid w:val="00451327"/>
    <w:rsid w:val="00454FB6"/>
    <w:rsid w:val="0045556A"/>
    <w:rsid w:val="0045628F"/>
    <w:rsid w:val="00456817"/>
    <w:rsid w:val="00457FBB"/>
    <w:rsid w:val="0046040D"/>
    <w:rsid w:val="0046107B"/>
    <w:rsid w:val="00462857"/>
    <w:rsid w:val="00463499"/>
    <w:rsid w:val="00463A13"/>
    <w:rsid w:val="00466151"/>
    <w:rsid w:val="00470518"/>
    <w:rsid w:val="0047215D"/>
    <w:rsid w:val="00474ED2"/>
    <w:rsid w:val="00475106"/>
    <w:rsid w:val="004770F4"/>
    <w:rsid w:val="0047749B"/>
    <w:rsid w:val="00480671"/>
    <w:rsid w:val="004843C4"/>
    <w:rsid w:val="0048567D"/>
    <w:rsid w:val="004917AB"/>
    <w:rsid w:val="004917B9"/>
    <w:rsid w:val="0049247F"/>
    <w:rsid w:val="00492AFA"/>
    <w:rsid w:val="00493AA7"/>
    <w:rsid w:val="0049677F"/>
    <w:rsid w:val="00496CB8"/>
    <w:rsid w:val="004974FE"/>
    <w:rsid w:val="00497790"/>
    <w:rsid w:val="004A2895"/>
    <w:rsid w:val="004A3F48"/>
    <w:rsid w:val="004B1051"/>
    <w:rsid w:val="004B493F"/>
    <w:rsid w:val="004B6CCF"/>
    <w:rsid w:val="004C36D2"/>
    <w:rsid w:val="004C3885"/>
    <w:rsid w:val="004C6FFA"/>
    <w:rsid w:val="004C710F"/>
    <w:rsid w:val="004C7F67"/>
    <w:rsid w:val="004D0163"/>
    <w:rsid w:val="004D2275"/>
    <w:rsid w:val="004D2D7F"/>
    <w:rsid w:val="004D5540"/>
    <w:rsid w:val="004D6DE2"/>
    <w:rsid w:val="004D75AB"/>
    <w:rsid w:val="004E0A5A"/>
    <w:rsid w:val="004F2C0E"/>
    <w:rsid w:val="004F2E35"/>
    <w:rsid w:val="004F4832"/>
    <w:rsid w:val="004F7018"/>
    <w:rsid w:val="0050261C"/>
    <w:rsid w:val="00503356"/>
    <w:rsid w:val="00503D49"/>
    <w:rsid w:val="00505FE9"/>
    <w:rsid w:val="0051045E"/>
    <w:rsid w:val="00512CE3"/>
    <w:rsid w:val="00513D9F"/>
    <w:rsid w:val="00514E7F"/>
    <w:rsid w:val="00515F2C"/>
    <w:rsid w:val="0052127C"/>
    <w:rsid w:val="005234B9"/>
    <w:rsid w:val="00524A0E"/>
    <w:rsid w:val="00527B60"/>
    <w:rsid w:val="0053040E"/>
    <w:rsid w:val="00533048"/>
    <w:rsid w:val="0053511C"/>
    <w:rsid w:val="00535BC9"/>
    <w:rsid w:val="0053652A"/>
    <w:rsid w:val="00537AD6"/>
    <w:rsid w:val="00541603"/>
    <w:rsid w:val="005447EF"/>
    <w:rsid w:val="00545B08"/>
    <w:rsid w:val="005467C3"/>
    <w:rsid w:val="005476B0"/>
    <w:rsid w:val="00554377"/>
    <w:rsid w:val="0055728B"/>
    <w:rsid w:val="00562039"/>
    <w:rsid w:val="005645BB"/>
    <w:rsid w:val="005654D8"/>
    <w:rsid w:val="00566071"/>
    <w:rsid w:val="005674F0"/>
    <w:rsid w:val="0057535E"/>
    <w:rsid w:val="00575481"/>
    <w:rsid w:val="00577C9A"/>
    <w:rsid w:val="0058229D"/>
    <w:rsid w:val="00583C33"/>
    <w:rsid w:val="005840C1"/>
    <w:rsid w:val="005854F7"/>
    <w:rsid w:val="0058606C"/>
    <w:rsid w:val="005874F2"/>
    <w:rsid w:val="00587D7B"/>
    <w:rsid w:val="00591463"/>
    <w:rsid w:val="00592C47"/>
    <w:rsid w:val="00593577"/>
    <w:rsid w:val="00593B45"/>
    <w:rsid w:val="0059543A"/>
    <w:rsid w:val="005A0977"/>
    <w:rsid w:val="005A0F67"/>
    <w:rsid w:val="005A3251"/>
    <w:rsid w:val="005A3512"/>
    <w:rsid w:val="005A376D"/>
    <w:rsid w:val="005A640A"/>
    <w:rsid w:val="005A7BF0"/>
    <w:rsid w:val="005B02B9"/>
    <w:rsid w:val="005B2846"/>
    <w:rsid w:val="005B5AD1"/>
    <w:rsid w:val="005B6E91"/>
    <w:rsid w:val="005C0A73"/>
    <w:rsid w:val="005C36CD"/>
    <w:rsid w:val="005C4189"/>
    <w:rsid w:val="005C432B"/>
    <w:rsid w:val="005C5760"/>
    <w:rsid w:val="005C60D0"/>
    <w:rsid w:val="005C62E0"/>
    <w:rsid w:val="005D1AFC"/>
    <w:rsid w:val="005D1F7B"/>
    <w:rsid w:val="005D37E3"/>
    <w:rsid w:val="005D388A"/>
    <w:rsid w:val="005D5240"/>
    <w:rsid w:val="005E597E"/>
    <w:rsid w:val="005F2255"/>
    <w:rsid w:val="005F46D4"/>
    <w:rsid w:val="005F681F"/>
    <w:rsid w:val="00600A04"/>
    <w:rsid w:val="00601378"/>
    <w:rsid w:val="006028EE"/>
    <w:rsid w:val="006048FD"/>
    <w:rsid w:val="00604C75"/>
    <w:rsid w:val="006115FC"/>
    <w:rsid w:val="0061456A"/>
    <w:rsid w:val="00614644"/>
    <w:rsid w:val="00614F5F"/>
    <w:rsid w:val="006152A4"/>
    <w:rsid w:val="006210C5"/>
    <w:rsid w:val="006254B5"/>
    <w:rsid w:val="006311CA"/>
    <w:rsid w:val="00631F40"/>
    <w:rsid w:val="00633ECC"/>
    <w:rsid w:val="0063600B"/>
    <w:rsid w:val="0064460B"/>
    <w:rsid w:val="0064480D"/>
    <w:rsid w:val="00644C6A"/>
    <w:rsid w:val="00652387"/>
    <w:rsid w:val="00653E3E"/>
    <w:rsid w:val="0065642F"/>
    <w:rsid w:val="006572A5"/>
    <w:rsid w:val="00661343"/>
    <w:rsid w:val="00661541"/>
    <w:rsid w:val="0066182C"/>
    <w:rsid w:val="006659D6"/>
    <w:rsid w:val="00666B19"/>
    <w:rsid w:val="00667A77"/>
    <w:rsid w:val="00671774"/>
    <w:rsid w:val="006737D4"/>
    <w:rsid w:val="00674A35"/>
    <w:rsid w:val="00674DDB"/>
    <w:rsid w:val="00675757"/>
    <w:rsid w:val="0067604C"/>
    <w:rsid w:val="0068421E"/>
    <w:rsid w:val="00686F67"/>
    <w:rsid w:val="00687D8C"/>
    <w:rsid w:val="006907F0"/>
    <w:rsid w:val="006919EE"/>
    <w:rsid w:val="00691F11"/>
    <w:rsid w:val="006928D2"/>
    <w:rsid w:val="006B032E"/>
    <w:rsid w:val="006B087E"/>
    <w:rsid w:val="006B124F"/>
    <w:rsid w:val="006B1390"/>
    <w:rsid w:val="006B1739"/>
    <w:rsid w:val="006B57CA"/>
    <w:rsid w:val="006B57F2"/>
    <w:rsid w:val="006B59EF"/>
    <w:rsid w:val="006C00F6"/>
    <w:rsid w:val="006C40C8"/>
    <w:rsid w:val="006C424B"/>
    <w:rsid w:val="006C5250"/>
    <w:rsid w:val="006C5CE3"/>
    <w:rsid w:val="006C7366"/>
    <w:rsid w:val="006D36C7"/>
    <w:rsid w:val="006D39BB"/>
    <w:rsid w:val="006D3BA1"/>
    <w:rsid w:val="006D6BBA"/>
    <w:rsid w:val="006E2A88"/>
    <w:rsid w:val="006F187D"/>
    <w:rsid w:val="006F1EAB"/>
    <w:rsid w:val="006F3B00"/>
    <w:rsid w:val="006F4173"/>
    <w:rsid w:val="006F5EB8"/>
    <w:rsid w:val="006F61DD"/>
    <w:rsid w:val="006F69E3"/>
    <w:rsid w:val="00702906"/>
    <w:rsid w:val="00703194"/>
    <w:rsid w:val="007047A8"/>
    <w:rsid w:val="00705F40"/>
    <w:rsid w:val="00706800"/>
    <w:rsid w:val="007078D3"/>
    <w:rsid w:val="00711361"/>
    <w:rsid w:val="00712EE6"/>
    <w:rsid w:val="0071553D"/>
    <w:rsid w:val="0071643F"/>
    <w:rsid w:val="007231C2"/>
    <w:rsid w:val="0072620C"/>
    <w:rsid w:val="007300BD"/>
    <w:rsid w:val="007360A2"/>
    <w:rsid w:val="007364D7"/>
    <w:rsid w:val="00737045"/>
    <w:rsid w:val="0074223B"/>
    <w:rsid w:val="00743B29"/>
    <w:rsid w:val="00744482"/>
    <w:rsid w:val="00744C0D"/>
    <w:rsid w:val="00744E91"/>
    <w:rsid w:val="00746E9A"/>
    <w:rsid w:val="00750CA4"/>
    <w:rsid w:val="0075687D"/>
    <w:rsid w:val="007572B3"/>
    <w:rsid w:val="007635FB"/>
    <w:rsid w:val="007646F8"/>
    <w:rsid w:val="00764CF2"/>
    <w:rsid w:val="0077438A"/>
    <w:rsid w:val="00775A8F"/>
    <w:rsid w:val="00776DF8"/>
    <w:rsid w:val="0077756F"/>
    <w:rsid w:val="00777788"/>
    <w:rsid w:val="00784008"/>
    <w:rsid w:val="00787BEE"/>
    <w:rsid w:val="00790DA9"/>
    <w:rsid w:val="00791AAE"/>
    <w:rsid w:val="00793EFC"/>
    <w:rsid w:val="00796063"/>
    <w:rsid w:val="00796F9E"/>
    <w:rsid w:val="00797863"/>
    <w:rsid w:val="007A761D"/>
    <w:rsid w:val="007B3E6B"/>
    <w:rsid w:val="007B476A"/>
    <w:rsid w:val="007B6FE3"/>
    <w:rsid w:val="007C3077"/>
    <w:rsid w:val="007C4F3A"/>
    <w:rsid w:val="007C7B80"/>
    <w:rsid w:val="007D1EFA"/>
    <w:rsid w:val="007D31CB"/>
    <w:rsid w:val="007D5179"/>
    <w:rsid w:val="007E1585"/>
    <w:rsid w:val="007E1D36"/>
    <w:rsid w:val="007E42E3"/>
    <w:rsid w:val="007E5A35"/>
    <w:rsid w:val="007E6459"/>
    <w:rsid w:val="007E69B4"/>
    <w:rsid w:val="007F225E"/>
    <w:rsid w:val="007F2623"/>
    <w:rsid w:val="007F3833"/>
    <w:rsid w:val="007F4A11"/>
    <w:rsid w:val="007F4BED"/>
    <w:rsid w:val="007F4F16"/>
    <w:rsid w:val="007F51A0"/>
    <w:rsid w:val="00801E2B"/>
    <w:rsid w:val="00802185"/>
    <w:rsid w:val="0080230B"/>
    <w:rsid w:val="0080231C"/>
    <w:rsid w:val="008023D3"/>
    <w:rsid w:val="008067B1"/>
    <w:rsid w:val="00810100"/>
    <w:rsid w:val="00811429"/>
    <w:rsid w:val="00814EAB"/>
    <w:rsid w:val="0081604C"/>
    <w:rsid w:val="00820F45"/>
    <w:rsid w:val="00821B81"/>
    <w:rsid w:val="00822233"/>
    <w:rsid w:val="00822CD0"/>
    <w:rsid w:val="00826892"/>
    <w:rsid w:val="00826E10"/>
    <w:rsid w:val="00827A6A"/>
    <w:rsid w:val="00827FFD"/>
    <w:rsid w:val="00831719"/>
    <w:rsid w:val="00831A1B"/>
    <w:rsid w:val="00834785"/>
    <w:rsid w:val="00835CDA"/>
    <w:rsid w:val="00840484"/>
    <w:rsid w:val="00846BBF"/>
    <w:rsid w:val="00853B85"/>
    <w:rsid w:val="00861213"/>
    <w:rsid w:val="008624E2"/>
    <w:rsid w:val="00863F32"/>
    <w:rsid w:val="00865EC0"/>
    <w:rsid w:val="008713C2"/>
    <w:rsid w:val="00872CF0"/>
    <w:rsid w:val="00873FDD"/>
    <w:rsid w:val="00874CA6"/>
    <w:rsid w:val="00874F43"/>
    <w:rsid w:val="00875EB2"/>
    <w:rsid w:val="00876C5D"/>
    <w:rsid w:val="00877436"/>
    <w:rsid w:val="00880253"/>
    <w:rsid w:val="0088063E"/>
    <w:rsid w:val="008839F4"/>
    <w:rsid w:val="008847B8"/>
    <w:rsid w:val="00896CF4"/>
    <w:rsid w:val="008A25E0"/>
    <w:rsid w:val="008A5345"/>
    <w:rsid w:val="008A55C9"/>
    <w:rsid w:val="008A5795"/>
    <w:rsid w:val="008B2863"/>
    <w:rsid w:val="008B3C99"/>
    <w:rsid w:val="008B5C1E"/>
    <w:rsid w:val="008B6A43"/>
    <w:rsid w:val="008C0E5B"/>
    <w:rsid w:val="008C2567"/>
    <w:rsid w:val="008C304B"/>
    <w:rsid w:val="008C46B1"/>
    <w:rsid w:val="008C6773"/>
    <w:rsid w:val="008D0484"/>
    <w:rsid w:val="008D3958"/>
    <w:rsid w:val="008D3CA6"/>
    <w:rsid w:val="008D5744"/>
    <w:rsid w:val="008D5840"/>
    <w:rsid w:val="008D5E8F"/>
    <w:rsid w:val="008D6850"/>
    <w:rsid w:val="008E017C"/>
    <w:rsid w:val="008E038C"/>
    <w:rsid w:val="008E4436"/>
    <w:rsid w:val="008E5444"/>
    <w:rsid w:val="008E54D3"/>
    <w:rsid w:val="008E5DE1"/>
    <w:rsid w:val="008E7552"/>
    <w:rsid w:val="008F0228"/>
    <w:rsid w:val="008F04DB"/>
    <w:rsid w:val="008F4A89"/>
    <w:rsid w:val="008F7092"/>
    <w:rsid w:val="008F77BD"/>
    <w:rsid w:val="00903A6E"/>
    <w:rsid w:val="00911534"/>
    <w:rsid w:val="00911C10"/>
    <w:rsid w:val="00913103"/>
    <w:rsid w:val="00913BAA"/>
    <w:rsid w:val="00915D22"/>
    <w:rsid w:val="00917306"/>
    <w:rsid w:val="00917E09"/>
    <w:rsid w:val="00920117"/>
    <w:rsid w:val="00930706"/>
    <w:rsid w:val="00931295"/>
    <w:rsid w:val="0093158B"/>
    <w:rsid w:val="0093791E"/>
    <w:rsid w:val="0093794B"/>
    <w:rsid w:val="00940479"/>
    <w:rsid w:val="009431E2"/>
    <w:rsid w:val="009455DF"/>
    <w:rsid w:val="00946316"/>
    <w:rsid w:val="00946F6A"/>
    <w:rsid w:val="00950460"/>
    <w:rsid w:val="00955F89"/>
    <w:rsid w:val="00956490"/>
    <w:rsid w:val="00960ADB"/>
    <w:rsid w:val="00961110"/>
    <w:rsid w:val="009627F6"/>
    <w:rsid w:val="0096399D"/>
    <w:rsid w:val="00965A1B"/>
    <w:rsid w:val="00965E4C"/>
    <w:rsid w:val="00965F2D"/>
    <w:rsid w:val="009663CC"/>
    <w:rsid w:val="00966547"/>
    <w:rsid w:val="00966578"/>
    <w:rsid w:val="00976E71"/>
    <w:rsid w:val="00977765"/>
    <w:rsid w:val="00981806"/>
    <w:rsid w:val="0098628F"/>
    <w:rsid w:val="009866CB"/>
    <w:rsid w:val="00987112"/>
    <w:rsid w:val="00987571"/>
    <w:rsid w:val="009878B6"/>
    <w:rsid w:val="00990363"/>
    <w:rsid w:val="009915CC"/>
    <w:rsid w:val="00991ED5"/>
    <w:rsid w:val="009A586F"/>
    <w:rsid w:val="009A5E19"/>
    <w:rsid w:val="009A6F84"/>
    <w:rsid w:val="009A7535"/>
    <w:rsid w:val="009A7AD2"/>
    <w:rsid w:val="009B1D82"/>
    <w:rsid w:val="009B29AB"/>
    <w:rsid w:val="009B4FB0"/>
    <w:rsid w:val="009B60BA"/>
    <w:rsid w:val="009B6C55"/>
    <w:rsid w:val="009B7DE1"/>
    <w:rsid w:val="009C1D1B"/>
    <w:rsid w:val="009C248F"/>
    <w:rsid w:val="009C33A2"/>
    <w:rsid w:val="009D4C53"/>
    <w:rsid w:val="009E5E58"/>
    <w:rsid w:val="009E6563"/>
    <w:rsid w:val="009E7240"/>
    <w:rsid w:val="009F073C"/>
    <w:rsid w:val="009F1135"/>
    <w:rsid w:val="009F1D91"/>
    <w:rsid w:val="009F2932"/>
    <w:rsid w:val="009F4808"/>
    <w:rsid w:val="009F5003"/>
    <w:rsid w:val="009F63D0"/>
    <w:rsid w:val="009F685D"/>
    <w:rsid w:val="009F6C24"/>
    <w:rsid w:val="00A00073"/>
    <w:rsid w:val="00A007ED"/>
    <w:rsid w:val="00A048D0"/>
    <w:rsid w:val="00A05BFC"/>
    <w:rsid w:val="00A06D9C"/>
    <w:rsid w:val="00A06E28"/>
    <w:rsid w:val="00A07E68"/>
    <w:rsid w:val="00A11881"/>
    <w:rsid w:val="00A1389B"/>
    <w:rsid w:val="00A14853"/>
    <w:rsid w:val="00A14E17"/>
    <w:rsid w:val="00A15B09"/>
    <w:rsid w:val="00A16352"/>
    <w:rsid w:val="00A17266"/>
    <w:rsid w:val="00A20973"/>
    <w:rsid w:val="00A21D05"/>
    <w:rsid w:val="00A26291"/>
    <w:rsid w:val="00A2717D"/>
    <w:rsid w:val="00A339E6"/>
    <w:rsid w:val="00A35B80"/>
    <w:rsid w:val="00A370D4"/>
    <w:rsid w:val="00A371F5"/>
    <w:rsid w:val="00A4087B"/>
    <w:rsid w:val="00A40E17"/>
    <w:rsid w:val="00A40E98"/>
    <w:rsid w:val="00A42EBC"/>
    <w:rsid w:val="00A51866"/>
    <w:rsid w:val="00A53638"/>
    <w:rsid w:val="00A54068"/>
    <w:rsid w:val="00A6522C"/>
    <w:rsid w:val="00A65824"/>
    <w:rsid w:val="00A668B7"/>
    <w:rsid w:val="00A66C4F"/>
    <w:rsid w:val="00A66F73"/>
    <w:rsid w:val="00A70A56"/>
    <w:rsid w:val="00A82616"/>
    <w:rsid w:val="00A83830"/>
    <w:rsid w:val="00A84098"/>
    <w:rsid w:val="00A8424A"/>
    <w:rsid w:val="00A90598"/>
    <w:rsid w:val="00A92CDF"/>
    <w:rsid w:val="00A9388C"/>
    <w:rsid w:val="00A941B3"/>
    <w:rsid w:val="00A942AA"/>
    <w:rsid w:val="00A959D0"/>
    <w:rsid w:val="00AA2FF4"/>
    <w:rsid w:val="00AA3C0E"/>
    <w:rsid w:val="00AA44AC"/>
    <w:rsid w:val="00AA4D85"/>
    <w:rsid w:val="00AB4DB4"/>
    <w:rsid w:val="00AB5ACF"/>
    <w:rsid w:val="00AB5E07"/>
    <w:rsid w:val="00AC61FB"/>
    <w:rsid w:val="00AD30F2"/>
    <w:rsid w:val="00AD338F"/>
    <w:rsid w:val="00AD4523"/>
    <w:rsid w:val="00AD6A3F"/>
    <w:rsid w:val="00AE36E6"/>
    <w:rsid w:val="00AE3CB4"/>
    <w:rsid w:val="00AE3E93"/>
    <w:rsid w:val="00AE5901"/>
    <w:rsid w:val="00AF2A53"/>
    <w:rsid w:val="00AF33A1"/>
    <w:rsid w:val="00AF403D"/>
    <w:rsid w:val="00AF5BBD"/>
    <w:rsid w:val="00B0197E"/>
    <w:rsid w:val="00B06873"/>
    <w:rsid w:val="00B1040D"/>
    <w:rsid w:val="00B1131C"/>
    <w:rsid w:val="00B12326"/>
    <w:rsid w:val="00B16E92"/>
    <w:rsid w:val="00B2170D"/>
    <w:rsid w:val="00B23ABD"/>
    <w:rsid w:val="00B27484"/>
    <w:rsid w:val="00B27D99"/>
    <w:rsid w:val="00B308A0"/>
    <w:rsid w:val="00B322F2"/>
    <w:rsid w:val="00B3294A"/>
    <w:rsid w:val="00B3415F"/>
    <w:rsid w:val="00B359ED"/>
    <w:rsid w:val="00B45CC0"/>
    <w:rsid w:val="00B45DF2"/>
    <w:rsid w:val="00B50688"/>
    <w:rsid w:val="00B50DBF"/>
    <w:rsid w:val="00B51BD8"/>
    <w:rsid w:val="00B523DA"/>
    <w:rsid w:val="00B5400E"/>
    <w:rsid w:val="00B55894"/>
    <w:rsid w:val="00B561A4"/>
    <w:rsid w:val="00B60276"/>
    <w:rsid w:val="00B608CF"/>
    <w:rsid w:val="00B62F1E"/>
    <w:rsid w:val="00B64719"/>
    <w:rsid w:val="00B671F0"/>
    <w:rsid w:val="00B725E5"/>
    <w:rsid w:val="00B73528"/>
    <w:rsid w:val="00B73EEF"/>
    <w:rsid w:val="00B74229"/>
    <w:rsid w:val="00B811B4"/>
    <w:rsid w:val="00B81257"/>
    <w:rsid w:val="00B84298"/>
    <w:rsid w:val="00B847DF"/>
    <w:rsid w:val="00B86E80"/>
    <w:rsid w:val="00B903AF"/>
    <w:rsid w:val="00B91F20"/>
    <w:rsid w:val="00B9309B"/>
    <w:rsid w:val="00BA1496"/>
    <w:rsid w:val="00BA2635"/>
    <w:rsid w:val="00BA4524"/>
    <w:rsid w:val="00BA50A4"/>
    <w:rsid w:val="00BB0833"/>
    <w:rsid w:val="00BC0727"/>
    <w:rsid w:val="00BC1A18"/>
    <w:rsid w:val="00BC24BA"/>
    <w:rsid w:val="00BC28BC"/>
    <w:rsid w:val="00BC3A67"/>
    <w:rsid w:val="00BC66BF"/>
    <w:rsid w:val="00BD0649"/>
    <w:rsid w:val="00BD1E21"/>
    <w:rsid w:val="00BD4F8D"/>
    <w:rsid w:val="00BE00BC"/>
    <w:rsid w:val="00BE0361"/>
    <w:rsid w:val="00BE07BC"/>
    <w:rsid w:val="00BE1CDE"/>
    <w:rsid w:val="00BE31AC"/>
    <w:rsid w:val="00BE6F8E"/>
    <w:rsid w:val="00BF245A"/>
    <w:rsid w:val="00BF2895"/>
    <w:rsid w:val="00BF51A0"/>
    <w:rsid w:val="00C0283A"/>
    <w:rsid w:val="00C03114"/>
    <w:rsid w:val="00C04A02"/>
    <w:rsid w:val="00C0783D"/>
    <w:rsid w:val="00C07D6C"/>
    <w:rsid w:val="00C10801"/>
    <w:rsid w:val="00C10A2C"/>
    <w:rsid w:val="00C12BC7"/>
    <w:rsid w:val="00C1356E"/>
    <w:rsid w:val="00C16DAD"/>
    <w:rsid w:val="00C178D7"/>
    <w:rsid w:val="00C20FE9"/>
    <w:rsid w:val="00C216DE"/>
    <w:rsid w:val="00C219E7"/>
    <w:rsid w:val="00C21C40"/>
    <w:rsid w:val="00C228BC"/>
    <w:rsid w:val="00C22B32"/>
    <w:rsid w:val="00C23FF4"/>
    <w:rsid w:val="00C245B7"/>
    <w:rsid w:val="00C30A89"/>
    <w:rsid w:val="00C3193C"/>
    <w:rsid w:val="00C33394"/>
    <w:rsid w:val="00C34348"/>
    <w:rsid w:val="00C4011C"/>
    <w:rsid w:val="00C41D22"/>
    <w:rsid w:val="00C43171"/>
    <w:rsid w:val="00C432A2"/>
    <w:rsid w:val="00C47902"/>
    <w:rsid w:val="00C5330D"/>
    <w:rsid w:val="00C535E5"/>
    <w:rsid w:val="00C57760"/>
    <w:rsid w:val="00C63DBB"/>
    <w:rsid w:val="00C63E75"/>
    <w:rsid w:val="00C668A1"/>
    <w:rsid w:val="00C710D3"/>
    <w:rsid w:val="00C71B48"/>
    <w:rsid w:val="00C826C9"/>
    <w:rsid w:val="00C82B13"/>
    <w:rsid w:val="00C93CD9"/>
    <w:rsid w:val="00C94637"/>
    <w:rsid w:val="00C9539E"/>
    <w:rsid w:val="00C95FD2"/>
    <w:rsid w:val="00C977A2"/>
    <w:rsid w:val="00CA3AA6"/>
    <w:rsid w:val="00CB1A57"/>
    <w:rsid w:val="00CB303B"/>
    <w:rsid w:val="00CB524F"/>
    <w:rsid w:val="00CC048B"/>
    <w:rsid w:val="00CC168B"/>
    <w:rsid w:val="00CC3BDD"/>
    <w:rsid w:val="00CD1EE4"/>
    <w:rsid w:val="00CD216B"/>
    <w:rsid w:val="00CD4482"/>
    <w:rsid w:val="00CE06CC"/>
    <w:rsid w:val="00CE32BB"/>
    <w:rsid w:val="00CE5A78"/>
    <w:rsid w:val="00CE6B6D"/>
    <w:rsid w:val="00CE6D4C"/>
    <w:rsid w:val="00CF0E7E"/>
    <w:rsid w:val="00CF2862"/>
    <w:rsid w:val="00CF2890"/>
    <w:rsid w:val="00CF2F13"/>
    <w:rsid w:val="00CF3442"/>
    <w:rsid w:val="00CF3602"/>
    <w:rsid w:val="00CF73AB"/>
    <w:rsid w:val="00D004A3"/>
    <w:rsid w:val="00D00DB5"/>
    <w:rsid w:val="00D03A4F"/>
    <w:rsid w:val="00D102E4"/>
    <w:rsid w:val="00D1156A"/>
    <w:rsid w:val="00D134D9"/>
    <w:rsid w:val="00D14136"/>
    <w:rsid w:val="00D154EA"/>
    <w:rsid w:val="00D174A2"/>
    <w:rsid w:val="00D20874"/>
    <w:rsid w:val="00D214E3"/>
    <w:rsid w:val="00D221B1"/>
    <w:rsid w:val="00D23717"/>
    <w:rsid w:val="00D23B8F"/>
    <w:rsid w:val="00D24C4B"/>
    <w:rsid w:val="00D25740"/>
    <w:rsid w:val="00D26217"/>
    <w:rsid w:val="00D304CB"/>
    <w:rsid w:val="00D318EC"/>
    <w:rsid w:val="00D31DB7"/>
    <w:rsid w:val="00D34567"/>
    <w:rsid w:val="00D34C4C"/>
    <w:rsid w:val="00D36644"/>
    <w:rsid w:val="00D376CA"/>
    <w:rsid w:val="00D407A8"/>
    <w:rsid w:val="00D40E44"/>
    <w:rsid w:val="00D416D4"/>
    <w:rsid w:val="00D45FE9"/>
    <w:rsid w:val="00D50191"/>
    <w:rsid w:val="00D52DBD"/>
    <w:rsid w:val="00D55652"/>
    <w:rsid w:val="00D560CA"/>
    <w:rsid w:val="00D57348"/>
    <w:rsid w:val="00D60090"/>
    <w:rsid w:val="00D61A06"/>
    <w:rsid w:val="00D6502D"/>
    <w:rsid w:val="00D66B24"/>
    <w:rsid w:val="00D67230"/>
    <w:rsid w:val="00D75A80"/>
    <w:rsid w:val="00D77730"/>
    <w:rsid w:val="00D80C85"/>
    <w:rsid w:val="00D82C65"/>
    <w:rsid w:val="00D843F6"/>
    <w:rsid w:val="00D84F62"/>
    <w:rsid w:val="00D8596B"/>
    <w:rsid w:val="00D864EC"/>
    <w:rsid w:val="00D8664C"/>
    <w:rsid w:val="00D9081B"/>
    <w:rsid w:val="00D9323D"/>
    <w:rsid w:val="00D93AC6"/>
    <w:rsid w:val="00D93AD8"/>
    <w:rsid w:val="00D94AFA"/>
    <w:rsid w:val="00DA4FD0"/>
    <w:rsid w:val="00DA5AA6"/>
    <w:rsid w:val="00DA7612"/>
    <w:rsid w:val="00DB4374"/>
    <w:rsid w:val="00DC0B5E"/>
    <w:rsid w:val="00DC0C9A"/>
    <w:rsid w:val="00DD10EA"/>
    <w:rsid w:val="00DD24FB"/>
    <w:rsid w:val="00DD42EA"/>
    <w:rsid w:val="00DE397A"/>
    <w:rsid w:val="00DE4E5D"/>
    <w:rsid w:val="00DE5E0A"/>
    <w:rsid w:val="00DF0061"/>
    <w:rsid w:val="00DF163F"/>
    <w:rsid w:val="00DF2838"/>
    <w:rsid w:val="00DF30E5"/>
    <w:rsid w:val="00DF46AD"/>
    <w:rsid w:val="00DF5AC0"/>
    <w:rsid w:val="00E004E5"/>
    <w:rsid w:val="00E011A8"/>
    <w:rsid w:val="00E044AD"/>
    <w:rsid w:val="00E105C2"/>
    <w:rsid w:val="00E15D9E"/>
    <w:rsid w:val="00E2087F"/>
    <w:rsid w:val="00E20B01"/>
    <w:rsid w:val="00E23A75"/>
    <w:rsid w:val="00E23EE6"/>
    <w:rsid w:val="00E2403E"/>
    <w:rsid w:val="00E26AEA"/>
    <w:rsid w:val="00E26CC4"/>
    <w:rsid w:val="00E3330D"/>
    <w:rsid w:val="00E34400"/>
    <w:rsid w:val="00E35B72"/>
    <w:rsid w:val="00E41486"/>
    <w:rsid w:val="00E43A48"/>
    <w:rsid w:val="00E4492D"/>
    <w:rsid w:val="00E45EE6"/>
    <w:rsid w:val="00E501E0"/>
    <w:rsid w:val="00E501E4"/>
    <w:rsid w:val="00E5598D"/>
    <w:rsid w:val="00E56273"/>
    <w:rsid w:val="00E57055"/>
    <w:rsid w:val="00E57D2F"/>
    <w:rsid w:val="00E62D52"/>
    <w:rsid w:val="00E64426"/>
    <w:rsid w:val="00E652CE"/>
    <w:rsid w:val="00E65C63"/>
    <w:rsid w:val="00E678DE"/>
    <w:rsid w:val="00E700AD"/>
    <w:rsid w:val="00E701BD"/>
    <w:rsid w:val="00E7099A"/>
    <w:rsid w:val="00E71299"/>
    <w:rsid w:val="00E7397C"/>
    <w:rsid w:val="00E86570"/>
    <w:rsid w:val="00E873A0"/>
    <w:rsid w:val="00E91770"/>
    <w:rsid w:val="00E91B04"/>
    <w:rsid w:val="00E92E30"/>
    <w:rsid w:val="00E934BC"/>
    <w:rsid w:val="00E93509"/>
    <w:rsid w:val="00EA1343"/>
    <w:rsid w:val="00EA481C"/>
    <w:rsid w:val="00EA7249"/>
    <w:rsid w:val="00EA7B99"/>
    <w:rsid w:val="00EA7C91"/>
    <w:rsid w:val="00EB02E2"/>
    <w:rsid w:val="00EB17A9"/>
    <w:rsid w:val="00EB1860"/>
    <w:rsid w:val="00EB1B12"/>
    <w:rsid w:val="00EB2FBC"/>
    <w:rsid w:val="00EB4818"/>
    <w:rsid w:val="00EC1142"/>
    <w:rsid w:val="00EC24A6"/>
    <w:rsid w:val="00EC3D7A"/>
    <w:rsid w:val="00EC3FE7"/>
    <w:rsid w:val="00EC7AA7"/>
    <w:rsid w:val="00ED0361"/>
    <w:rsid w:val="00ED043A"/>
    <w:rsid w:val="00ED1E29"/>
    <w:rsid w:val="00ED2D18"/>
    <w:rsid w:val="00ED5BF9"/>
    <w:rsid w:val="00EE65ED"/>
    <w:rsid w:val="00EE6EF0"/>
    <w:rsid w:val="00EF0CF2"/>
    <w:rsid w:val="00EF49AC"/>
    <w:rsid w:val="00F07001"/>
    <w:rsid w:val="00F07155"/>
    <w:rsid w:val="00F1371A"/>
    <w:rsid w:val="00F14636"/>
    <w:rsid w:val="00F14F7A"/>
    <w:rsid w:val="00F1621B"/>
    <w:rsid w:val="00F1726B"/>
    <w:rsid w:val="00F21355"/>
    <w:rsid w:val="00F2155D"/>
    <w:rsid w:val="00F22116"/>
    <w:rsid w:val="00F25DEC"/>
    <w:rsid w:val="00F26FD5"/>
    <w:rsid w:val="00F27689"/>
    <w:rsid w:val="00F40FAD"/>
    <w:rsid w:val="00F4560C"/>
    <w:rsid w:val="00F47649"/>
    <w:rsid w:val="00F522C6"/>
    <w:rsid w:val="00F53D16"/>
    <w:rsid w:val="00F54F7F"/>
    <w:rsid w:val="00F574C0"/>
    <w:rsid w:val="00F61FC4"/>
    <w:rsid w:val="00F63A73"/>
    <w:rsid w:val="00F65814"/>
    <w:rsid w:val="00F676A0"/>
    <w:rsid w:val="00F736AE"/>
    <w:rsid w:val="00F74C68"/>
    <w:rsid w:val="00F76EDA"/>
    <w:rsid w:val="00F81FD2"/>
    <w:rsid w:val="00F8329F"/>
    <w:rsid w:val="00F84912"/>
    <w:rsid w:val="00F85BC2"/>
    <w:rsid w:val="00F86133"/>
    <w:rsid w:val="00F91BF2"/>
    <w:rsid w:val="00F923F1"/>
    <w:rsid w:val="00F9432D"/>
    <w:rsid w:val="00F95A80"/>
    <w:rsid w:val="00F96538"/>
    <w:rsid w:val="00FA089D"/>
    <w:rsid w:val="00FA1E53"/>
    <w:rsid w:val="00FB5B72"/>
    <w:rsid w:val="00FB621B"/>
    <w:rsid w:val="00FC04D3"/>
    <w:rsid w:val="00FC3DD1"/>
    <w:rsid w:val="00FC66EE"/>
    <w:rsid w:val="00FD0B9B"/>
    <w:rsid w:val="00FD51DC"/>
    <w:rsid w:val="00FD7261"/>
    <w:rsid w:val="00FD741A"/>
    <w:rsid w:val="00FD7CB1"/>
    <w:rsid w:val="00FE478F"/>
    <w:rsid w:val="00FE67A8"/>
    <w:rsid w:val="00FF37C4"/>
    <w:rsid w:val="00FF4EEC"/>
    <w:rsid w:val="4EE30786"/>
    <w:rsid w:val="657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DF31"/>
  <w15:docId w15:val="{F6EDA4C4-F005-4D9F-9FBC-4B4EEF4A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76"/>
    <w:pPr>
      <w:spacing w:line="25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027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6027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60276"/>
    <w:rPr>
      <w:rFonts w:asciiTheme="majorHAnsi" w:eastAsiaTheme="majorEastAsia" w:hAnsiTheme="majorHAnsi" w:cstheme="majorBidi"/>
      <w:color w:val="1481AB" w:themeColor="accent1" w:themeShade="BF"/>
    </w:rPr>
  </w:style>
  <w:style w:type="table" w:styleId="GridTable6ColourfulAccent5">
    <w:name w:val="Grid Table 6 Colorful Accent 5"/>
    <w:basedOn w:val="TableNormal"/>
    <w:uiPriority w:val="51"/>
    <w:rsid w:val="00B60276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60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76"/>
  </w:style>
  <w:style w:type="paragraph" w:styleId="Footer">
    <w:name w:val="footer"/>
    <w:basedOn w:val="Normal"/>
    <w:link w:val="Foot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76"/>
  </w:style>
  <w:style w:type="paragraph" w:styleId="BalloonText">
    <w:name w:val="Balloon Text"/>
    <w:basedOn w:val="Normal"/>
    <w:link w:val="BalloonTextChar"/>
    <w:uiPriority w:val="99"/>
    <w:semiHidden/>
    <w:unhideWhenUsed/>
    <w:rsid w:val="00B6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27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0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276"/>
    <w:rPr>
      <w:vertAlign w:val="superscript"/>
    </w:rPr>
  </w:style>
  <w:style w:type="table" w:styleId="TableGrid">
    <w:name w:val="Table Grid"/>
    <w:basedOn w:val="TableNormal"/>
    <w:uiPriority w:val="39"/>
    <w:rsid w:val="0045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13B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cf01">
    <w:name w:val="cf01"/>
    <w:basedOn w:val="DefaultParagraphFont"/>
    <w:rsid w:val="008067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Number</a:t>
            </a:r>
            <a:r>
              <a:rPr lang="en-IE" baseline="0"/>
              <a:t> of callers versus Time Spent</a:t>
            </a:r>
            <a:endParaRPr lang="en-I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280314960629922"/>
          <c:y val="0.17171296296296298"/>
          <c:w val="0.86497462817147852"/>
          <c:h val="0.670401356080489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Sheet2!$A$1:$A$5</c:f>
              <c:strCache>
                <c:ptCount val="5"/>
                <c:pt idx="0">
                  <c:v>10 mins and under</c:v>
                </c:pt>
                <c:pt idx="1">
                  <c:v>11-20 minutes</c:v>
                </c:pt>
                <c:pt idx="2">
                  <c:v>21-40 minutes</c:v>
                </c:pt>
                <c:pt idx="3">
                  <c:v>41-90 minutes</c:v>
                </c:pt>
                <c:pt idx="4">
                  <c:v>91 minutes and over</c:v>
                </c:pt>
              </c:strCache>
            </c:strRef>
          </c:cat>
          <c:val>
            <c:numRef>
              <c:f>Sheet2!$B$1:$B$5</c:f>
              <c:numCache>
                <c:formatCode>General</c:formatCode>
                <c:ptCount val="5"/>
                <c:pt idx="0">
                  <c:v>42981</c:v>
                </c:pt>
                <c:pt idx="1">
                  <c:v>36925</c:v>
                </c:pt>
                <c:pt idx="2">
                  <c:v>15846</c:v>
                </c:pt>
                <c:pt idx="3" formatCode="#,##0">
                  <c:v>3096</c:v>
                </c:pt>
                <c:pt idx="4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D2-4613-995A-02D86D562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6538543"/>
        <c:axId val="596545743"/>
      </c:barChart>
      <c:catAx>
        <c:axId val="596538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545743"/>
        <c:crosses val="autoZero"/>
        <c:auto val="1"/>
        <c:lblAlgn val="ctr"/>
        <c:lblOffset val="100"/>
        <c:noMultiLvlLbl val="0"/>
      </c:catAx>
      <c:valAx>
        <c:axId val="5965457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538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F5EC15-3F31-441C-B8FB-46219B10D477}">
  <we:reference id="wa200001745" version="1.0.1.5" store="en-GB" storeType="OMEX"/>
  <we:alternateReferences>
    <we:reference id="WA200001745" version="1.0.1.5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CIB042-004-2022</eDocs_FileName>
    <TaxCatchAll xmlns="ff212c30-0135-4bf2-b188-6a120996ec0f">
      <Value>4</Value>
      <Value>9</Value>
      <Value>8</Value>
      <Value>1</Value>
    </TaxCatchAll>
    <_dlc_ExpireDateSaved xmlns="http://schemas.microsoft.com/sharepoint/v3" xsi:nil="true"/>
    <_dlc_ExpireDate xmlns="http://schemas.microsoft.com/sharepoint/v3">2022-04-17T15:43:03+00:00</_dlc_ExpireDate>
  </documentManagement>
</p:properti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7BC5E-BBFB-4EB8-831A-706D3043F6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EFD787-EC91-4ED9-A76F-BF211C43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B98B6-719A-4B9F-AB69-ED0268F64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E89BA-E7B6-4F83-BF3B-61A980DF1DFE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5.xml><?xml version="1.0" encoding="utf-8"?>
<ds:datastoreItem xmlns:ds="http://schemas.openxmlformats.org/officeDocument/2006/customXml" ds:itemID="{739395F7-A478-4B77-A514-7F12E310086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A7C2545-ACBB-403D-98E8-139C1F249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1 2022 Statistical Summary Report with datasets for the three main categories with the highest query numbers.</vt:lpstr>
    </vt:vector>
  </TitlesOfParts>
  <Company/>
  <LinksUpToDate>false</LinksUpToDate>
  <CharactersWithSpaces>28570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1 2022 Statistical Summary Report with datasets for the three main categories with the highest query numbers.</dc:title>
  <dc:subject>Statistical summary of caller and query data for quarter 1 2022</dc:subject>
  <dc:creator>Sarah Togher</dc:creator>
  <cp:keywords>Statistical Summary Report</cp:keywords>
  <dc:description/>
  <cp:lastModifiedBy>Elena Kelly</cp:lastModifiedBy>
  <cp:revision>2</cp:revision>
  <cp:lastPrinted>2024-07-16T08:42:00Z</cp:lastPrinted>
  <dcterms:created xsi:type="dcterms:W3CDTF">2024-07-30T09:38:00Z</dcterms:created>
  <dcterms:modified xsi:type="dcterms:W3CDTF">2024-07-30T09:38:00Z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9;#2022|107ae17d-263b-4385-8fe1-9fa02a3cdf61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