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51EAF" w14:textId="71E023A6" w:rsidR="00B60276" w:rsidRDefault="00B60276" w:rsidP="00B60276">
      <w:pPr>
        <w:pStyle w:val="Heading1"/>
        <w:rPr>
          <w:sz w:val="44"/>
          <w:szCs w:val="44"/>
        </w:rPr>
      </w:pPr>
      <w:r>
        <w:rPr>
          <w:sz w:val="44"/>
          <w:szCs w:val="44"/>
        </w:rPr>
        <w:t>Citizens Information Services (CIS</w:t>
      </w:r>
      <w:r w:rsidR="00352248">
        <w:rPr>
          <w:sz w:val="44"/>
          <w:szCs w:val="44"/>
        </w:rPr>
        <w:t>s</w:t>
      </w:r>
      <w:r>
        <w:rPr>
          <w:sz w:val="44"/>
          <w:szCs w:val="44"/>
        </w:rPr>
        <w:t>) – Caller/Query Data</w:t>
      </w:r>
    </w:p>
    <w:p w14:paraId="6F86E003" w14:textId="43B9F85D" w:rsidR="00B60276" w:rsidRPr="00B86165" w:rsidRDefault="00B60276" w:rsidP="00B60276">
      <w:pPr>
        <w:pStyle w:val="Heading1"/>
        <w:rPr>
          <w:sz w:val="44"/>
          <w:szCs w:val="44"/>
        </w:rPr>
      </w:pPr>
      <w:r w:rsidRPr="00D82C65">
        <w:rPr>
          <w:sz w:val="44"/>
          <w:szCs w:val="44"/>
        </w:rPr>
        <w:t>St</w:t>
      </w:r>
      <w:r w:rsidR="00874F43">
        <w:rPr>
          <w:sz w:val="44"/>
          <w:szCs w:val="44"/>
        </w:rPr>
        <w:t>atistical Summary Quarter 1 202</w:t>
      </w:r>
      <w:r w:rsidR="00E65814">
        <w:rPr>
          <w:sz w:val="44"/>
          <w:szCs w:val="44"/>
        </w:rPr>
        <w:t>4</w:t>
      </w:r>
      <w:r w:rsidRPr="00B86165">
        <w:rPr>
          <w:sz w:val="44"/>
          <w:szCs w:val="44"/>
        </w:rPr>
        <w:t xml:space="preserve"> </w:t>
      </w:r>
    </w:p>
    <w:p w14:paraId="244CB506" w14:textId="263CCFC2" w:rsidR="00B60276" w:rsidRPr="00EC1142" w:rsidRDefault="00B60276" w:rsidP="00B60276">
      <w:pPr>
        <w:rPr>
          <w:rFonts w:ascii="Calibri" w:eastAsia="Times New Roman" w:hAnsi="Calibri" w:cs="Calibri"/>
          <w:lang w:eastAsia="en-IE"/>
        </w:rPr>
      </w:pPr>
      <w:r w:rsidRPr="00B12326">
        <w:rPr>
          <w:rFonts w:ascii="Calibri" w:eastAsia="Times New Roman" w:hAnsi="Calibri" w:cs="Calibri"/>
          <w:lang w:eastAsia="en-IE"/>
        </w:rPr>
        <w:t>The following is a summary of C</w:t>
      </w:r>
      <w:r w:rsidR="007A761D">
        <w:rPr>
          <w:rFonts w:ascii="Calibri" w:eastAsia="Times New Roman" w:hAnsi="Calibri" w:cs="Calibri"/>
          <w:lang w:eastAsia="en-IE"/>
        </w:rPr>
        <w:t>itizens Information Services (C</w:t>
      </w:r>
      <w:r w:rsidRPr="00B12326">
        <w:rPr>
          <w:rFonts w:ascii="Calibri" w:eastAsia="Times New Roman" w:hAnsi="Calibri" w:cs="Calibri"/>
          <w:lang w:eastAsia="en-IE"/>
        </w:rPr>
        <w:t>IS</w:t>
      </w:r>
      <w:r w:rsidR="00352248">
        <w:rPr>
          <w:rFonts w:ascii="Calibri" w:eastAsia="Times New Roman" w:hAnsi="Calibri" w:cs="Calibri"/>
          <w:lang w:eastAsia="en-IE"/>
        </w:rPr>
        <w:t>s</w:t>
      </w:r>
      <w:r w:rsidR="007A761D">
        <w:rPr>
          <w:rFonts w:ascii="Calibri" w:eastAsia="Times New Roman" w:hAnsi="Calibri" w:cs="Calibri"/>
          <w:lang w:eastAsia="en-IE"/>
        </w:rPr>
        <w:t>)</w:t>
      </w:r>
      <w:r w:rsidRPr="00B12326">
        <w:rPr>
          <w:rFonts w:ascii="Calibri" w:eastAsia="Times New Roman" w:hAnsi="Calibri" w:cs="Calibri"/>
          <w:lang w:eastAsia="en-IE"/>
        </w:rPr>
        <w:t xml:space="preserve"> caller and query</w:t>
      </w:r>
      <w:r w:rsidR="00EC1142">
        <w:rPr>
          <w:rFonts w:ascii="Calibri" w:eastAsia="Times New Roman" w:hAnsi="Calibri" w:cs="Calibri"/>
          <w:lang w:eastAsia="en-IE"/>
        </w:rPr>
        <w:t xml:space="preserve"> statistical</w:t>
      </w:r>
      <w:r w:rsidRPr="00B12326">
        <w:rPr>
          <w:rFonts w:ascii="Calibri" w:eastAsia="Times New Roman" w:hAnsi="Calibri" w:cs="Calibri"/>
          <w:lang w:eastAsia="en-IE"/>
        </w:rPr>
        <w:t xml:space="preserve"> </w:t>
      </w:r>
      <w:r w:rsidR="003269F0" w:rsidRPr="00B12326">
        <w:rPr>
          <w:rFonts w:ascii="Calibri" w:eastAsia="Times New Roman" w:hAnsi="Calibri" w:cs="Calibri"/>
          <w:lang w:eastAsia="en-IE"/>
        </w:rPr>
        <w:t>data for Quarter 1</w:t>
      </w:r>
      <w:r w:rsidRPr="00B12326">
        <w:rPr>
          <w:rFonts w:ascii="Calibri" w:eastAsia="Times New Roman" w:hAnsi="Calibri" w:cs="Calibri"/>
          <w:lang w:eastAsia="en-IE"/>
        </w:rPr>
        <w:t xml:space="preserve">, </w:t>
      </w:r>
      <w:r w:rsidR="003269F0" w:rsidRPr="00B12326">
        <w:rPr>
          <w:rFonts w:ascii="Calibri" w:eastAsia="Times New Roman" w:hAnsi="Calibri" w:cs="Calibri"/>
          <w:lang w:eastAsia="en-IE"/>
        </w:rPr>
        <w:t>1</w:t>
      </w:r>
      <w:r w:rsidR="003269F0" w:rsidRPr="00B12326">
        <w:rPr>
          <w:rFonts w:ascii="Calibri" w:eastAsia="Times New Roman" w:hAnsi="Calibri" w:cs="Calibri"/>
          <w:vertAlign w:val="superscript"/>
          <w:lang w:eastAsia="en-IE"/>
        </w:rPr>
        <w:t>st</w:t>
      </w:r>
      <w:r w:rsidR="003269F0" w:rsidRPr="00B12326">
        <w:rPr>
          <w:rFonts w:ascii="Calibri" w:eastAsia="Times New Roman" w:hAnsi="Calibri" w:cs="Calibri"/>
          <w:lang w:eastAsia="en-IE"/>
        </w:rPr>
        <w:t xml:space="preserve"> January</w:t>
      </w:r>
      <w:r w:rsidRPr="00B12326">
        <w:rPr>
          <w:rFonts w:ascii="Calibri" w:eastAsia="Times New Roman" w:hAnsi="Calibri" w:cs="Calibri"/>
          <w:lang w:eastAsia="en-IE"/>
        </w:rPr>
        <w:t xml:space="preserve"> </w:t>
      </w:r>
      <w:r w:rsidR="005C4189">
        <w:rPr>
          <w:rFonts w:ascii="Calibri" w:eastAsia="Times New Roman" w:hAnsi="Calibri" w:cs="Calibri"/>
          <w:lang w:eastAsia="en-IE"/>
        </w:rPr>
        <w:t>–</w:t>
      </w:r>
      <w:r w:rsidRPr="00B12326">
        <w:rPr>
          <w:rFonts w:ascii="Calibri" w:eastAsia="Times New Roman" w:hAnsi="Calibri" w:cs="Calibri"/>
          <w:lang w:eastAsia="en-IE"/>
        </w:rPr>
        <w:t xml:space="preserve"> </w:t>
      </w:r>
      <w:r w:rsidR="003269F0" w:rsidRPr="00B12326">
        <w:rPr>
          <w:rFonts w:ascii="Calibri" w:eastAsia="Times New Roman" w:hAnsi="Calibri" w:cs="Calibri"/>
          <w:lang w:eastAsia="en-IE"/>
        </w:rPr>
        <w:t>31</w:t>
      </w:r>
      <w:r w:rsidR="005C4189">
        <w:rPr>
          <w:rFonts w:ascii="Calibri" w:eastAsia="Times New Roman" w:hAnsi="Calibri" w:cs="Calibri"/>
          <w:vertAlign w:val="superscript"/>
          <w:lang w:eastAsia="en-IE"/>
        </w:rPr>
        <w:t>st</w:t>
      </w:r>
      <w:r w:rsidRPr="00B12326">
        <w:rPr>
          <w:rFonts w:ascii="Calibri" w:eastAsia="Times New Roman" w:hAnsi="Calibri" w:cs="Calibri"/>
          <w:lang w:eastAsia="en-IE"/>
        </w:rPr>
        <w:t xml:space="preserve"> </w:t>
      </w:r>
      <w:r w:rsidR="003269F0" w:rsidRPr="00B12326">
        <w:rPr>
          <w:rFonts w:ascii="Calibri" w:eastAsia="Times New Roman" w:hAnsi="Calibri" w:cs="Calibri"/>
          <w:lang w:eastAsia="en-IE"/>
        </w:rPr>
        <w:t xml:space="preserve">March </w:t>
      </w:r>
      <w:r w:rsidR="00874F43" w:rsidRPr="00B12326">
        <w:rPr>
          <w:rFonts w:ascii="Calibri" w:eastAsia="Times New Roman" w:hAnsi="Calibri" w:cs="Calibri"/>
          <w:lang w:eastAsia="en-IE"/>
        </w:rPr>
        <w:t>202</w:t>
      </w:r>
      <w:r w:rsidR="00E65814">
        <w:rPr>
          <w:rFonts w:ascii="Calibri" w:eastAsia="Times New Roman" w:hAnsi="Calibri" w:cs="Calibri"/>
          <w:lang w:eastAsia="en-IE"/>
        </w:rPr>
        <w:t>4</w:t>
      </w:r>
      <w:r w:rsidRPr="00B12326">
        <w:rPr>
          <w:rFonts w:ascii="Calibri" w:eastAsia="Times New Roman" w:hAnsi="Calibri" w:cs="Calibri"/>
          <w:lang w:eastAsia="en-IE"/>
        </w:rPr>
        <w:t>.</w:t>
      </w:r>
      <w:r w:rsidRPr="00B12326">
        <w:rPr>
          <w:rFonts w:ascii="Calibri" w:eastAsia="Times New Roman" w:hAnsi="Calibri" w:cs="Calibri"/>
          <w:vertAlign w:val="superscript"/>
          <w:lang w:eastAsia="en-IE"/>
        </w:rPr>
        <w:t xml:space="preserve">  </w:t>
      </w:r>
    </w:p>
    <w:p w14:paraId="22FD95CE" w14:textId="77777777" w:rsidR="00B60276" w:rsidRPr="00B12326" w:rsidRDefault="00B60276" w:rsidP="00B60276">
      <w:pPr>
        <w:pStyle w:val="Heading1"/>
        <w:rPr>
          <w:sz w:val="28"/>
          <w:szCs w:val="28"/>
        </w:rPr>
      </w:pPr>
      <w:r w:rsidRPr="00B12326">
        <w:rPr>
          <w:sz w:val="28"/>
          <w:szCs w:val="28"/>
        </w:rPr>
        <w:t>Caller Summary</w:t>
      </w:r>
    </w:p>
    <w:p w14:paraId="7334BFAD" w14:textId="4274204D" w:rsidR="00955F89" w:rsidRPr="00B12326" w:rsidRDefault="00955F89" w:rsidP="00022929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  <w:r w:rsidRPr="00B12326">
        <w:rPr>
          <w:rFonts w:ascii="Calibri" w:hAnsi="Calibri" w:cs="Calibri"/>
          <w:color w:val="auto"/>
          <w:sz w:val="22"/>
          <w:szCs w:val="22"/>
        </w:rPr>
        <w:t xml:space="preserve">There </w:t>
      </w:r>
      <w:r w:rsidRPr="00054303">
        <w:rPr>
          <w:rFonts w:ascii="Calibri" w:hAnsi="Calibri" w:cs="Calibri"/>
          <w:b/>
          <w:color w:val="auto"/>
          <w:sz w:val="22"/>
          <w:szCs w:val="22"/>
        </w:rPr>
        <w:t xml:space="preserve">were </w:t>
      </w:r>
      <w:r w:rsidR="00022929" w:rsidRPr="00054303">
        <w:rPr>
          <w:rFonts w:ascii="Calibri" w:hAnsi="Calibri" w:cs="Calibri"/>
          <w:b/>
          <w:color w:val="auto"/>
          <w:sz w:val="22"/>
          <w:szCs w:val="22"/>
        </w:rPr>
        <w:t>10</w:t>
      </w:r>
      <w:r w:rsidR="008C0CB5">
        <w:rPr>
          <w:rFonts w:ascii="Calibri" w:hAnsi="Calibri" w:cs="Calibri"/>
          <w:b/>
          <w:color w:val="auto"/>
          <w:sz w:val="22"/>
          <w:szCs w:val="22"/>
        </w:rPr>
        <w:t>6,122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 xml:space="preserve"> callers to CISs nationally during Q1, 202</w:t>
      </w:r>
      <w:r w:rsidR="008C0CB5">
        <w:rPr>
          <w:rFonts w:ascii="Calibri" w:hAnsi="Calibri" w:cs="Calibri"/>
          <w:color w:val="auto"/>
          <w:sz w:val="22"/>
          <w:szCs w:val="22"/>
        </w:rPr>
        <w:t>4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874F43" w:rsidRPr="00ED0D5E">
        <w:rPr>
          <w:rFonts w:ascii="Calibri" w:hAnsi="Calibri" w:cs="Calibri"/>
          <w:color w:val="auto"/>
          <w:sz w:val="22"/>
          <w:szCs w:val="22"/>
        </w:rPr>
        <w:t xml:space="preserve">a </w:t>
      </w:r>
      <w:r w:rsidR="00ED0D5E" w:rsidRPr="00ED0D5E">
        <w:rPr>
          <w:rFonts w:ascii="Calibri" w:hAnsi="Calibri" w:cs="Calibri"/>
          <w:color w:val="auto"/>
          <w:sz w:val="22"/>
          <w:szCs w:val="22"/>
        </w:rPr>
        <w:t>slight decrease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 xml:space="preserve"> on the same period in 202</w:t>
      </w:r>
      <w:r w:rsidR="008C0CB5">
        <w:rPr>
          <w:rFonts w:ascii="Calibri" w:hAnsi="Calibri" w:cs="Calibri"/>
          <w:color w:val="auto"/>
          <w:sz w:val="22"/>
          <w:szCs w:val="22"/>
        </w:rPr>
        <w:t>3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 xml:space="preserve"> when there were </w:t>
      </w:r>
      <w:r w:rsidR="008C0CB5">
        <w:rPr>
          <w:rFonts w:ascii="Calibri" w:hAnsi="Calibri" w:cs="Calibri"/>
          <w:color w:val="auto"/>
          <w:sz w:val="22"/>
          <w:szCs w:val="22"/>
        </w:rPr>
        <w:t>107,403</w:t>
      </w:r>
      <w:r w:rsidR="00B60276" w:rsidRPr="00B12326">
        <w:rPr>
          <w:rFonts w:ascii="Calibri" w:hAnsi="Calibri" w:cs="Calibri"/>
          <w:color w:val="auto"/>
          <w:sz w:val="22"/>
          <w:szCs w:val="22"/>
        </w:rPr>
        <w:t xml:space="preserve"> call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>ers</w:t>
      </w:r>
      <w:r w:rsidR="003433AB" w:rsidRPr="00B12326">
        <w:rPr>
          <w:rFonts w:ascii="Calibri" w:hAnsi="Calibri" w:cs="Calibri"/>
          <w:color w:val="auto"/>
          <w:sz w:val="22"/>
          <w:szCs w:val="22"/>
        </w:rPr>
        <w:t>.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D4784C1" w14:textId="1DB90F08" w:rsidR="00E23A75" w:rsidRPr="00B12326" w:rsidRDefault="00B60276" w:rsidP="00E23A75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B12326">
        <w:rPr>
          <w:rFonts w:eastAsia="Times New Roman"/>
          <w:b/>
          <w:sz w:val="24"/>
          <w:szCs w:val="24"/>
          <w:lang w:eastAsia="en-IE"/>
        </w:rPr>
        <w:t xml:space="preserve">Table 1 – Caller Gender Profile 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2660"/>
        <w:gridCol w:w="1999"/>
        <w:gridCol w:w="2460"/>
        <w:gridCol w:w="2123"/>
      </w:tblGrid>
      <w:tr w:rsidR="005758C3" w:rsidRPr="00B12326" w14:paraId="4416EB4D" w14:textId="39F3E7FC" w:rsidTr="00C91D7C">
        <w:trPr>
          <w:trHeight w:val="323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1EBA8F58" w14:textId="77777777" w:rsidR="005758C3" w:rsidRPr="00B12326" w:rsidRDefault="005758C3" w:rsidP="00E23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Caller Profile</w:t>
            </w:r>
          </w:p>
        </w:tc>
        <w:tc>
          <w:tcPr>
            <w:tcW w:w="199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7619F563" w14:textId="77777777" w:rsidR="005758C3" w:rsidRPr="00B12326" w:rsidRDefault="005758C3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CE7CFAC" w14:textId="77777777" w:rsidR="005758C3" w:rsidRPr="00B12326" w:rsidRDefault="005758C3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  <w:tc>
          <w:tcPr>
            <w:tcW w:w="212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</w:tcPr>
          <w:p w14:paraId="5D1772BB" w14:textId="1EE5ADDA" w:rsidR="005758C3" w:rsidRPr="00B12326" w:rsidRDefault="005758C3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% change Q1 </w:t>
            </w:r>
            <w:r w:rsidR="00A817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‘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23 – Q1 </w:t>
            </w:r>
            <w:r w:rsidR="00A817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‘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24</w:t>
            </w:r>
          </w:p>
        </w:tc>
      </w:tr>
      <w:tr w:rsidR="005758C3" w:rsidRPr="00B12326" w14:paraId="0AEA708B" w14:textId="67995503" w:rsidTr="00C91D7C">
        <w:trPr>
          <w:trHeight w:val="308"/>
        </w:trPr>
        <w:tc>
          <w:tcPr>
            <w:tcW w:w="26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E4DBF71" w14:textId="77777777" w:rsidR="005758C3" w:rsidRPr="00B12326" w:rsidRDefault="005758C3" w:rsidP="00E23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Female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7B61D0E" w14:textId="63676FAA" w:rsidR="005758C3" w:rsidRPr="00B12326" w:rsidRDefault="005758C3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58,929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085751C" w14:textId="6B0D0055" w:rsidR="005758C3" w:rsidRPr="00B12326" w:rsidRDefault="005758C3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55.5</w:t>
            </w: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005F2F35" w14:textId="42AE0FCA" w:rsidR="005758C3" w:rsidRPr="00B86ACB" w:rsidRDefault="005758C3" w:rsidP="00022929">
            <w:pPr>
              <w:spacing w:after="0" w:line="240" w:lineRule="auto"/>
              <w:jc w:val="center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-6.4%</w:t>
            </w:r>
          </w:p>
        </w:tc>
      </w:tr>
      <w:tr w:rsidR="005758C3" w:rsidRPr="00B12326" w14:paraId="7BADF2ED" w14:textId="5EA2B2EF" w:rsidTr="00C91D7C">
        <w:trPr>
          <w:trHeight w:val="308"/>
        </w:trPr>
        <w:tc>
          <w:tcPr>
            <w:tcW w:w="26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EEC2EE7" w14:textId="77777777" w:rsidR="005758C3" w:rsidRPr="00B12326" w:rsidRDefault="005758C3" w:rsidP="00E23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Male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5D04CC7" w14:textId="65CB831F" w:rsidR="005758C3" w:rsidRPr="00B12326" w:rsidRDefault="005758C3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40,336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31E479C" w14:textId="389AD920" w:rsidR="005758C3" w:rsidRPr="00B12326" w:rsidRDefault="005758C3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8.0</w:t>
            </w: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22B75AE3" w14:textId="580FFAB9" w:rsidR="005758C3" w:rsidRPr="00B86ACB" w:rsidRDefault="005758C3" w:rsidP="00022929">
            <w:pPr>
              <w:spacing w:after="0" w:line="240" w:lineRule="auto"/>
              <w:jc w:val="center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+1.6%</w:t>
            </w:r>
          </w:p>
        </w:tc>
      </w:tr>
      <w:tr w:rsidR="005758C3" w:rsidRPr="00B12326" w14:paraId="483AB3EB" w14:textId="6F267314" w:rsidTr="00C91D7C">
        <w:trPr>
          <w:trHeight w:val="308"/>
        </w:trPr>
        <w:tc>
          <w:tcPr>
            <w:tcW w:w="26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B4D6455" w14:textId="0F35180E" w:rsidR="005758C3" w:rsidRPr="00B12326" w:rsidRDefault="005758C3" w:rsidP="00E23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Couples</w:t>
            </w:r>
            <w:r w:rsidR="00C91D7C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/Family Members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30F02FF" w14:textId="2060D1A2" w:rsidR="005758C3" w:rsidRPr="00B12326" w:rsidRDefault="005758C3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6,317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1F2BC9D" w14:textId="33B4DB9E" w:rsidR="005758C3" w:rsidRPr="00B12326" w:rsidRDefault="005758C3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6.0</w:t>
            </w: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3119C472" w14:textId="4BFABFA8" w:rsidR="005758C3" w:rsidRPr="00B86ACB" w:rsidRDefault="005758C3" w:rsidP="00022929">
            <w:pPr>
              <w:spacing w:after="0" w:line="240" w:lineRule="auto"/>
              <w:jc w:val="center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+43.8%</w:t>
            </w:r>
          </w:p>
        </w:tc>
      </w:tr>
      <w:tr w:rsidR="005758C3" w:rsidRPr="00B12326" w14:paraId="2ED8A643" w14:textId="44921EC2" w:rsidTr="00C91D7C">
        <w:trPr>
          <w:trHeight w:val="308"/>
        </w:trPr>
        <w:tc>
          <w:tcPr>
            <w:tcW w:w="26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F1512E5" w14:textId="77777777" w:rsidR="005758C3" w:rsidRPr="00B12326" w:rsidRDefault="005758C3" w:rsidP="00E23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Unknown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6828A79" w14:textId="5E06A488" w:rsidR="005758C3" w:rsidRPr="00B12326" w:rsidRDefault="005758C3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9070F09" w14:textId="65CC4293" w:rsidR="005758C3" w:rsidRPr="00B12326" w:rsidRDefault="005758C3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34B2CE0C" w14:textId="258DB5FA" w:rsidR="005758C3" w:rsidRPr="00B86ACB" w:rsidRDefault="005758C3" w:rsidP="00022929">
            <w:pPr>
              <w:spacing w:after="0" w:line="240" w:lineRule="auto"/>
              <w:jc w:val="center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+54.7%</w:t>
            </w:r>
          </w:p>
        </w:tc>
      </w:tr>
    </w:tbl>
    <w:p w14:paraId="46FBA7F8" w14:textId="6218F3F2" w:rsidR="003433AB" w:rsidRDefault="003433AB" w:rsidP="003433AB">
      <w:pPr>
        <w:rPr>
          <w:lang w:eastAsia="en-IE"/>
        </w:rPr>
      </w:pPr>
    </w:p>
    <w:p w14:paraId="6905B1A0" w14:textId="101D17F5" w:rsidR="00801909" w:rsidRPr="00801909" w:rsidRDefault="00801909" w:rsidP="0011591D">
      <w:pPr>
        <w:jc w:val="both"/>
        <w:rPr>
          <w:rFonts w:ascii="Calibri" w:eastAsiaTheme="majorEastAsia" w:hAnsi="Calibri" w:cs="Calibri"/>
        </w:rPr>
      </w:pPr>
      <w:r w:rsidRPr="00801909">
        <w:rPr>
          <w:rFonts w:ascii="Calibri" w:eastAsiaTheme="majorEastAsia" w:hAnsi="Calibri" w:cs="Calibri"/>
        </w:rPr>
        <w:t>The number of female callers to CISs decreased by 6.4%</w:t>
      </w:r>
      <w:r w:rsidR="005758C3">
        <w:rPr>
          <w:rFonts w:ascii="Calibri" w:eastAsiaTheme="majorEastAsia" w:hAnsi="Calibri" w:cs="Calibri"/>
        </w:rPr>
        <w:t xml:space="preserve"> in Q1 2024. </w:t>
      </w:r>
      <w:r w:rsidR="00972FE7">
        <w:rPr>
          <w:rFonts w:ascii="Calibri" w:eastAsiaTheme="majorEastAsia" w:hAnsi="Calibri" w:cs="Calibri"/>
        </w:rPr>
        <w:t>Although couples have always been recorded f</w:t>
      </w:r>
      <w:r w:rsidR="005758C3">
        <w:rPr>
          <w:rFonts w:ascii="Calibri" w:eastAsiaTheme="majorEastAsia" w:hAnsi="Calibri" w:cs="Calibri"/>
        </w:rPr>
        <w:t>amil</w:t>
      </w:r>
      <w:r w:rsidR="00ED0D5E">
        <w:rPr>
          <w:rFonts w:ascii="Calibri" w:eastAsiaTheme="majorEastAsia" w:hAnsi="Calibri" w:cs="Calibri"/>
        </w:rPr>
        <w:t>y</w:t>
      </w:r>
      <w:r w:rsidR="001430A2">
        <w:rPr>
          <w:rFonts w:ascii="Calibri" w:eastAsiaTheme="majorEastAsia" w:hAnsi="Calibri" w:cs="Calibri"/>
        </w:rPr>
        <w:t xml:space="preserve"> </w:t>
      </w:r>
      <w:r w:rsidR="00ED0D5E">
        <w:rPr>
          <w:rFonts w:ascii="Calibri" w:eastAsiaTheme="majorEastAsia" w:hAnsi="Calibri" w:cs="Calibri"/>
        </w:rPr>
        <w:t>members were</w:t>
      </w:r>
      <w:r w:rsidR="001430A2">
        <w:rPr>
          <w:rFonts w:ascii="Calibri" w:eastAsiaTheme="majorEastAsia" w:hAnsi="Calibri" w:cs="Calibri"/>
        </w:rPr>
        <w:t xml:space="preserve"> </w:t>
      </w:r>
      <w:r w:rsidR="005758C3">
        <w:rPr>
          <w:rFonts w:ascii="Calibri" w:eastAsiaTheme="majorEastAsia" w:hAnsi="Calibri" w:cs="Calibri"/>
        </w:rPr>
        <w:t>introduced</w:t>
      </w:r>
      <w:r w:rsidR="001430A2">
        <w:rPr>
          <w:rFonts w:ascii="Calibri" w:eastAsiaTheme="majorEastAsia" w:hAnsi="Calibri" w:cs="Calibri"/>
        </w:rPr>
        <w:t xml:space="preserve"> </w:t>
      </w:r>
      <w:r w:rsidR="005758C3">
        <w:rPr>
          <w:rFonts w:ascii="Calibri" w:eastAsiaTheme="majorEastAsia" w:hAnsi="Calibri" w:cs="Calibri"/>
        </w:rPr>
        <w:t>in the second half of 2023 an</w:t>
      </w:r>
      <w:r w:rsidR="00C91D7C">
        <w:rPr>
          <w:rFonts w:ascii="Calibri" w:eastAsiaTheme="majorEastAsia" w:hAnsi="Calibri" w:cs="Calibri"/>
        </w:rPr>
        <w:t>d</w:t>
      </w:r>
      <w:r w:rsidR="005758C3">
        <w:rPr>
          <w:rFonts w:ascii="Calibri" w:eastAsiaTheme="majorEastAsia" w:hAnsi="Calibri" w:cs="Calibri"/>
        </w:rPr>
        <w:t xml:space="preserve"> since then there has been an increase in the number of call</w:t>
      </w:r>
      <w:r w:rsidR="001430A2">
        <w:rPr>
          <w:rFonts w:ascii="Calibri" w:eastAsiaTheme="majorEastAsia" w:hAnsi="Calibri" w:cs="Calibri"/>
        </w:rPr>
        <w:t>er</w:t>
      </w:r>
      <w:r w:rsidR="005758C3">
        <w:rPr>
          <w:rFonts w:ascii="Calibri" w:eastAsiaTheme="majorEastAsia" w:hAnsi="Calibri" w:cs="Calibri"/>
        </w:rPr>
        <w:t>s</w:t>
      </w:r>
      <w:r w:rsidR="001430A2">
        <w:rPr>
          <w:rFonts w:ascii="Calibri" w:eastAsiaTheme="majorEastAsia" w:hAnsi="Calibri" w:cs="Calibri"/>
        </w:rPr>
        <w:t xml:space="preserve"> in this category</w:t>
      </w:r>
      <w:r w:rsidR="005758C3">
        <w:rPr>
          <w:rFonts w:ascii="Calibri" w:eastAsiaTheme="majorEastAsia" w:hAnsi="Calibri" w:cs="Calibri"/>
        </w:rPr>
        <w:t xml:space="preserve">, </w:t>
      </w:r>
      <w:r w:rsidR="001430A2">
        <w:rPr>
          <w:rFonts w:ascii="Calibri" w:eastAsiaTheme="majorEastAsia" w:hAnsi="Calibri" w:cs="Calibri"/>
        </w:rPr>
        <w:t xml:space="preserve">which </w:t>
      </w:r>
      <w:r w:rsidR="005758C3">
        <w:rPr>
          <w:rFonts w:ascii="Calibri" w:eastAsiaTheme="majorEastAsia" w:hAnsi="Calibri" w:cs="Calibri"/>
        </w:rPr>
        <w:t>may account for some of the decline in female callers.</w:t>
      </w:r>
    </w:p>
    <w:p w14:paraId="3F67A15F" w14:textId="68A1AEBA" w:rsidR="00B60276" w:rsidRPr="00B12326" w:rsidRDefault="00B60276" w:rsidP="00B60276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B12326">
        <w:rPr>
          <w:rFonts w:eastAsia="Times New Roman"/>
          <w:b/>
          <w:sz w:val="24"/>
          <w:szCs w:val="24"/>
          <w:lang w:eastAsia="en-IE"/>
        </w:rPr>
        <w:t xml:space="preserve">Table 2 – Caller Age Profile </w:t>
      </w:r>
    </w:p>
    <w:tbl>
      <w:tblPr>
        <w:tblW w:w="9252" w:type="dxa"/>
        <w:tblInd w:w="-10" w:type="dxa"/>
        <w:tblLook w:val="04A0" w:firstRow="1" w:lastRow="0" w:firstColumn="1" w:lastColumn="0" w:noHBand="0" w:noVBand="1"/>
      </w:tblPr>
      <w:tblGrid>
        <w:gridCol w:w="2427"/>
        <w:gridCol w:w="2228"/>
        <w:gridCol w:w="2470"/>
        <w:gridCol w:w="2127"/>
      </w:tblGrid>
      <w:tr w:rsidR="00FC46FE" w:rsidRPr="00B12326" w14:paraId="1E46E313" w14:textId="120D3A14" w:rsidTr="001430A2">
        <w:trPr>
          <w:trHeight w:val="274"/>
        </w:trPr>
        <w:tc>
          <w:tcPr>
            <w:tcW w:w="242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0442C416" w14:textId="77777777" w:rsidR="00FC46FE" w:rsidRPr="00B12326" w:rsidRDefault="00FC46FE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Caller Age Range</w:t>
            </w:r>
          </w:p>
        </w:tc>
        <w:tc>
          <w:tcPr>
            <w:tcW w:w="222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62A39F"/>
            <w:noWrap/>
            <w:vAlign w:val="center"/>
            <w:hideMark/>
          </w:tcPr>
          <w:p w14:paraId="10692935" w14:textId="48FE1C44" w:rsidR="00FC46FE" w:rsidRPr="00B12326" w:rsidRDefault="00FC46FE" w:rsidP="00454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7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D5E85FC" w14:textId="77777777" w:rsidR="00FC46FE" w:rsidRPr="00B12326" w:rsidRDefault="00FC46FE" w:rsidP="00454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  <w:tc>
          <w:tcPr>
            <w:tcW w:w="2127" w:type="dxa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62A39F"/>
          </w:tcPr>
          <w:p w14:paraId="2079BA07" w14:textId="60F0F635" w:rsidR="00FC46FE" w:rsidRPr="00B12326" w:rsidRDefault="00FC46FE" w:rsidP="00454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% change Q1 </w:t>
            </w:r>
            <w:r w:rsidR="00A817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‘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23 – Q1 </w:t>
            </w:r>
            <w:r w:rsidR="00A817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‘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24</w:t>
            </w:r>
          </w:p>
        </w:tc>
      </w:tr>
      <w:tr w:rsidR="00FC46FE" w:rsidRPr="00B12326" w14:paraId="3F27B9CE" w14:textId="78E27130" w:rsidTr="001430A2">
        <w:trPr>
          <w:trHeight w:val="288"/>
        </w:trPr>
        <w:tc>
          <w:tcPr>
            <w:tcW w:w="242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  <w:hideMark/>
          </w:tcPr>
          <w:p w14:paraId="2082112B" w14:textId="77777777" w:rsidR="00FC46FE" w:rsidRPr="00B12326" w:rsidRDefault="00FC46FE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38D95A1D" w14:textId="1CAFB0E1" w:rsidR="00FC46FE" w:rsidRPr="00B12326" w:rsidRDefault="00FC46FE" w:rsidP="00454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(n= 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8</w:t>
            </w: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%)</w:t>
            </w:r>
          </w:p>
        </w:tc>
        <w:tc>
          <w:tcPr>
            <w:tcW w:w="2470" w:type="dxa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562ECEB" w14:textId="77777777" w:rsidR="00FC46FE" w:rsidRPr="00B12326" w:rsidRDefault="00FC46FE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</w:tcPr>
          <w:p w14:paraId="221D25B1" w14:textId="77777777" w:rsidR="00FC46FE" w:rsidRPr="00B12326" w:rsidRDefault="00FC46FE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FC46FE" w:rsidRPr="00B12326" w14:paraId="506F6CF4" w14:textId="533BB677" w:rsidTr="00FC46FE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20FE3C8" w14:textId="35814A59" w:rsidR="00FC46FE" w:rsidRPr="00B12326" w:rsidRDefault="00FC46FE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46-65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6A26897" w14:textId="21F2C71F" w:rsidR="00FC46FE" w:rsidRPr="00B12326" w:rsidRDefault="00FC46FE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8,183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F934949" w14:textId="6186F8D3" w:rsidR="00FC46FE" w:rsidRPr="00B12326" w:rsidRDefault="00FC46FE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39.1</w:t>
            </w: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34D3D1CA" w14:textId="79A357E4" w:rsidR="00FC46FE" w:rsidRPr="00B86ACB" w:rsidRDefault="00FC46FE" w:rsidP="00022929">
            <w:pPr>
              <w:spacing w:after="0" w:line="240" w:lineRule="auto"/>
              <w:jc w:val="center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+1.2%</w:t>
            </w:r>
          </w:p>
        </w:tc>
      </w:tr>
      <w:tr w:rsidR="00FC46FE" w:rsidRPr="00B12326" w14:paraId="0E670BF8" w14:textId="3D241510" w:rsidTr="00FC46FE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DB3BB29" w14:textId="650FAA4A" w:rsidR="00FC46FE" w:rsidRPr="00B12326" w:rsidRDefault="00FC46FE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26-45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31FEAA9" w14:textId="4DB07B4B" w:rsidR="00FC46FE" w:rsidRPr="00B12326" w:rsidRDefault="00FC46FE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7,893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A7A3C46" w14:textId="279BDF7C" w:rsidR="00FC46FE" w:rsidRPr="00B12326" w:rsidRDefault="00FC46FE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8.7</w:t>
            </w: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2C48E91F" w14:textId="5202CC39" w:rsidR="00FC46FE" w:rsidRPr="00B86ACB" w:rsidRDefault="00FC46FE" w:rsidP="00022929">
            <w:pPr>
              <w:spacing w:after="0" w:line="240" w:lineRule="auto"/>
              <w:jc w:val="center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+0.7%</w:t>
            </w:r>
          </w:p>
        </w:tc>
      </w:tr>
      <w:tr w:rsidR="00FC46FE" w:rsidRPr="00B12326" w14:paraId="57733959" w14:textId="042409BB" w:rsidTr="00FC46FE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242E7F6" w14:textId="77777777" w:rsidR="00FC46FE" w:rsidRPr="00B12326" w:rsidRDefault="00FC46FE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66 and Over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BC98B0D" w14:textId="00AFE3D1" w:rsidR="00FC46FE" w:rsidRPr="00B12326" w:rsidRDefault="00FC46FE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13,809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DE864E2" w14:textId="1A12BE23" w:rsidR="00FC46FE" w:rsidRPr="00B12326" w:rsidRDefault="00FC46FE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9.1</w:t>
            </w: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7595F8A3" w14:textId="71B5C997" w:rsidR="00FC46FE" w:rsidRPr="00B86ACB" w:rsidRDefault="00FC46FE" w:rsidP="00022929">
            <w:pPr>
              <w:spacing w:after="0" w:line="240" w:lineRule="auto"/>
              <w:jc w:val="center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-1.8%</w:t>
            </w:r>
          </w:p>
        </w:tc>
      </w:tr>
      <w:tr w:rsidR="00FC46FE" w:rsidRPr="00B12326" w14:paraId="11B92745" w14:textId="15707DC7" w:rsidTr="00FC46FE">
        <w:trPr>
          <w:trHeight w:val="261"/>
        </w:trPr>
        <w:tc>
          <w:tcPr>
            <w:tcW w:w="242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A6BDFEC" w14:textId="77777777" w:rsidR="00FC46FE" w:rsidRPr="00B12326" w:rsidRDefault="00FC46FE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25 and Under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77A63B6" w14:textId="13E449CF" w:rsidR="00FC46FE" w:rsidRPr="00B12326" w:rsidRDefault="00FC46FE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2,271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500413" w14:textId="72C5D29A" w:rsidR="00FC46FE" w:rsidRPr="00B12326" w:rsidRDefault="00FC46FE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3.2</w:t>
            </w: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0DAD8"/>
          </w:tcPr>
          <w:p w14:paraId="1795F8D0" w14:textId="4D44E576" w:rsidR="00FC46FE" w:rsidRPr="00B86ACB" w:rsidRDefault="00FC46FE" w:rsidP="00022929">
            <w:pPr>
              <w:spacing w:after="0" w:line="240" w:lineRule="auto"/>
              <w:jc w:val="center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+8.7%</w:t>
            </w:r>
          </w:p>
        </w:tc>
      </w:tr>
    </w:tbl>
    <w:p w14:paraId="171F9E32" w14:textId="77777777" w:rsidR="0011591D" w:rsidRDefault="0011591D" w:rsidP="00FD11E5">
      <w:pPr>
        <w:jc w:val="both"/>
        <w:rPr>
          <w:rFonts w:ascii="Calibri" w:eastAsiaTheme="majorEastAsia" w:hAnsi="Calibri" w:cs="Calibri"/>
        </w:rPr>
      </w:pPr>
    </w:p>
    <w:p w14:paraId="2FC78F9A" w14:textId="204E7D7D" w:rsidR="0011591D" w:rsidRPr="00C91D7C" w:rsidRDefault="0011591D" w:rsidP="00FD11E5">
      <w:pPr>
        <w:jc w:val="both"/>
        <w:rPr>
          <w:rFonts w:ascii="Calibri" w:eastAsiaTheme="majorEastAsia" w:hAnsi="Calibri" w:cs="Calibri"/>
        </w:rPr>
        <w:sectPr w:rsidR="0011591D" w:rsidRPr="00C91D7C" w:rsidSect="00681F13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alibri" w:eastAsiaTheme="majorEastAsia" w:hAnsi="Calibri" w:cs="Calibri"/>
        </w:rPr>
        <w:t xml:space="preserve">Each of the caller age profiles remained steady, except the 25 and </w:t>
      </w:r>
      <w:r w:rsidR="00972FE7">
        <w:rPr>
          <w:rFonts w:ascii="Calibri" w:eastAsiaTheme="majorEastAsia" w:hAnsi="Calibri" w:cs="Calibri"/>
        </w:rPr>
        <w:t>under age</w:t>
      </w:r>
      <w:r>
        <w:rPr>
          <w:rFonts w:ascii="Calibri" w:eastAsiaTheme="majorEastAsia" w:hAnsi="Calibri" w:cs="Calibri"/>
        </w:rPr>
        <w:t xml:space="preserve"> group </w:t>
      </w:r>
      <w:r w:rsidR="00A81735">
        <w:rPr>
          <w:rFonts w:ascii="Calibri" w:eastAsiaTheme="majorEastAsia" w:hAnsi="Calibri" w:cs="Calibri"/>
        </w:rPr>
        <w:t xml:space="preserve">which </w:t>
      </w:r>
      <w:r w:rsidR="009A1E2E">
        <w:rPr>
          <w:rFonts w:ascii="Calibri" w:eastAsiaTheme="majorEastAsia" w:hAnsi="Calibri" w:cs="Calibri"/>
        </w:rPr>
        <w:t xml:space="preserve">increased </w:t>
      </w:r>
      <w:r>
        <w:rPr>
          <w:rFonts w:ascii="Calibri" w:eastAsiaTheme="majorEastAsia" w:hAnsi="Calibri" w:cs="Calibri"/>
        </w:rPr>
        <w:t>from 2,090 callers in Q1 2023 to 2,271 caller in Q1 2024.</w:t>
      </w:r>
    </w:p>
    <w:p w14:paraId="32DA03CE" w14:textId="5FB973F0" w:rsidR="00B60276" w:rsidRPr="00B12326" w:rsidRDefault="00B60276" w:rsidP="005467C3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B12326">
        <w:rPr>
          <w:rFonts w:eastAsia="Times New Roman"/>
          <w:b/>
          <w:sz w:val="24"/>
          <w:szCs w:val="24"/>
          <w:lang w:eastAsia="en-IE"/>
        </w:rPr>
        <w:t>Table 3 – Caller Mode of Contact</w:t>
      </w:r>
      <w:r w:rsidR="005467C3" w:rsidRPr="00B12326">
        <w:rPr>
          <w:rFonts w:eastAsia="Times New Roman"/>
          <w:b/>
          <w:sz w:val="24"/>
          <w:szCs w:val="24"/>
          <w:lang w:eastAsia="en-IE"/>
        </w:rPr>
        <w:t xml:space="preserve"> </w:t>
      </w:r>
    </w:p>
    <w:tbl>
      <w:tblPr>
        <w:tblStyle w:val="GridTable5Dark-Accent6"/>
        <w:tblW w:w="9242" w:type="dxa"/>
        <w:tblLook w:val="04A0" w:firstRow="1" w:lastRow="0" w:firstColumn="1" w:lastColumn="0" w:noHBand="0" w:noVBand="1"/>
      </w:tblPr>
      <w:tblGrid>
        <w:gridCol w:w="2029"/>
        <w:gridCol w:w="2640"/>
        <w:gridCol w:w="2481"/>
        <w:gridCol w:w="2092"/>
      </w:tblGrid>
      <w:tr w:rsidR="00FC46FE" w:rsidRPr="00B12326" w14:paraId="7EA4B4D3" w14:textId="1A347056" w:rsidTr="00FC4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7A2B7CEA" w14:textId="77777777" w:rsidR="00FC46FE" w:rsidRPr="00B12326" w:rsidRDefault="00FC46FE" w:rsidP="003C36C5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2640" w:type="dxa"/>
            <w:noWrap/>
            <w:hideMark/>
          </w:tcPr>
          <w:p w14:paraId="716424ED" w14:textId="77777777" w:rsidR="00FC46FE" w:rsidRPr="00B12326" w:rsidRDefault="00FC46FE" w:rsidP="0002292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81" w:type="dxa"/>
            <w:noWrap/>
            <w:hideMark/>
          </w:tcPr>
          <w:p w14:paraId="29E9851F" w14:textId="77777777" w:rsidR="00FC46FE" w:rsidRPr="00B12326" w:rsidRDefault="00FC46FE" w:rsidP="0002292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  <w:tc>
          <w:tcPr>
            <w:tcW w:w="2092" w:type="dxa"/>
          </w:tcPr>
          <w:p w14:paraId="68C64392" w14:textId="53F4BC20" w:rsidR="00FC46FE" w:rsidRPr="00B12326" w:rsidRDefault="00FC46FE" w:rsidP="0002292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% change Q1 23 – Q1 </w:t>
            </w:r>
            <w:r w:rsidR="00A817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‘</w:t>
            </w:r>
            <w:r w:rsidRPr="00FC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24</w:t>
            </w:r>
          </w:p>
        </w:tc>
      </w:tr>
      <w:tr w:rsidR="00FC46FE" w:rsidRPr="00B12326" w14:paraId="44B7438B" w14:textId="191B17F3" w:rsidTr="00FC4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0FB9F632" w14:textId="33955D4B" w:rsidR="00FC46FE" w:rsidRPr="00B12326" w:rsidRDefault="00FC46FE" w:rsidP="003C36C5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Personal</w:t>
            </w:r>
          </w:p>
        </w:tc>
        <w:tc>
          <w:tcPr>
            <w:tcW w:w="2640" w:type="dxa"/>
            <w:noWrap/>
            <w:hideMark/>
          </w:tcPr>
          <w:p w14:paraId="6C26933C" w14:textId="58DC0521" w:rsidR="00FC46FE" w:rsidRPr="00B12326" w:rsidRDefault="00FC46FE" w:rsidP="000229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68,450</w:t>
            </w:r>
          </w:p>
        </w:tc>
        <w:tc>
          <w:tcPr>
            <w:tcW w:w="2481" w:type="dxa"/>
            <w:noWrap/>
            <w:hideMark/>
          </w:tcPr>
          <w:p w14:paraId="1EEB520B" w14:textId="53CECB1B" w:rsidR="00FC46FE" w:rsidRPr="00B12326" w:rsidRDefault="00FC46FE" w:rsidP="000229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64.5</w:t>
            </w: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  <w:tc>
          <w:tcPr>
            <w:tcW w:w="2092" w:type="dxa"/>
          </w:tcPr>
          <w:p w14:paraId="3F728BEF" w14:textId="2AB8CE24" w:rsidR="00FC46FE" w:rsidRPr="00B86ACB" w:rsidRDefault="00FC46FE" w:rsidP="000229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+16.1%</w:t>
            </w:r>
          </w:p>
        </w:tc>
      </w:tr>
      <w:tr w:rsidR="00FC46FE" w:rsidRPr="00B12326" w14:paraId="01A6056B" w14:textId="286F34AE" w:rsidTr="00FC46FE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45A6F347" w14:textId="03BFF815" w:rsidR="00FC46FE" w:rsidRPr="00B12326" w:rsidRDefault="00FC46FE" w:rsidP="003C36C5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Telephone</w:t>
            </w:r>
          </w:p>
        </w:tc>
        <w:tc>
          <w:tcPr>
            <w:tcW w:w="2640" w:type="dxa"/>
            <w:noWrap/>
            <w:hideMark/>
          </w:tcPr>
          <w:p w14:paraId="30CFC515" w14:textId="6BFA84C0" w:rsidR="00FC46FE" w:rsidRPr="00B12326" w:rsidRDefault="00FC46FE" w:rsidP="000229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34,408</w:t>
            </w:r>
          </w:p>
        </w:tc>
        <w:tc>
          <w:tcPr>
            <w:tcW w:w="2481" w:type="dxa"/>
            <w:noWrap/>
            <w:hideMark/>
          </w:tcPr>
          <w:p w14:paraId="2DC88BC0" w14:textId="7D26B043" w:rsidR="00FC46FE" w:rsidRPr="00B12326" w:rsidRDefault="00FC46FE" w:rsidP="000229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32.4</w:t>
            </w: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  <w:tc>
          <w:tcPr>
            <w:tcW w:w="2092" w:type="dxa"/>
          </w:tcPr>
          <w:p w14:paraId="4D44BD6B" w14:textId="27362098" w:rsidR="00FC46FE" w:rsidRPr="00B86ACB" w:rsidRDefault="00FC46FE" w:rsidP="000229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-23.6%</w:t>
            </w:r>
          </w:p>
        </w:tc>
      </w:tr>
      <w:tr w:rsidR="00FC46FE" w:rsidRPr="003C36C5" w14:paraId="643F2934" w14:textId="61239347" w:rsidTr="00FC4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592A83FB" w14:textId="77777777" w:rsidR="00FC46FE" w:rsidRPr="00B12326" w:rsidRDefault="00FC46FE" w:rsidP="003C36C5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Letter/Email</w:t>
            </w:r>
          </w:p>
        </w:tc>
        <w:tc>
          <w:tcPr>
            <w:tcW w:w="2640" w:type="dxa"/>
            <w:noWrap/>
            <w:hideMark/>
          </w:tcPr>
          <w:p w14:paraId="4F16112C" w14:textId="0F89BE54" w:rsidR="00FC46FE" w:rsidRPr="00B12326" w:rsidRDefault="00FC46FE" w:rsidP="000229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3,264</w:t>
            </w:r>
          </w:p>
        </w:tc>
        <w:tc>
          <w:tcPr>
            <w:tcW w:w="2481" w:type="dxa"/>
            <w:noWrap/>
            <w:hideMark/>
          </w:tcPr>
          <w:p w14:paraId="1C9D93E3" w14:textId="5BDDE6D9" w:rsidR="00FC46FE" w:rsidRPr="003C36C5" w:rsidRDefault="00FC46FE" w:rsidP="000229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  <w:tc>
          <w:tcPr>
            <w:tcW w:w="2092" w:type="dxa"/>
          </w:tcPr>
          <w:p w14:paraId="2CD5E9BB" w14:textId="1062D170" w:rsidR="00FC46FE" w:rsidRPr="00B86ACB" w:rsidRDefault="00FC46FE" w:rsidP="000229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-5.6%</w:t>
            </w:r>
          </w:p>
        </w:tc>
      </w:tr>
    </w:tbl>
    <w:p w14:paraId="5A6F9BBD" w14:textId="77777777" w:rsidR="00194B48" w:rsidRDefault="00194B48" w:rsidP="0011591D">
      <w:pPr>
        <w:jc w:val="both"/>
        <w:rPr>
          <w:rFonts w:ascii="Calibri" w:eastAsiaTheme="majorEastAsia" w:hAnsi="Calibri" w:cs="Calibri"/>
          <w:b/>
        </w:rPr>
      </w:pPr>
    </w:p>
    <w:p w14:paraId="620354AD" w14:textId="5382E3AF" w:rsidR="0011591D" w:rsidRPr="00AE3F23" w:rsidRDefault="0011591D" w:rsidP="00AE3F23">
      <w:pPr>
        <w:jc w:val="both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  <w:b/>
        </w:rPr>
        <w:lastRenderedPageBreak/>
        <w:t>P</w:t>
      </w:r>
      <w:r w:rsidRPr="00ED0D5E">
        <w:rPr>
          <w:rFonts w:ascii="Calibri" w:eastAsiaTheme="majorEastAsia" w:hAnsi="Calibri" w:cs="Calibri"/>
          <w:b/>
        </w:rPr>
        <w:t>ersonal callers</w:t>
      </w:r>
      <w:r>
        <w:rPr>
          <w:rFonts w:ascii="Calibri" w:eastAsiaTheme="majorEastAsia" w:hAnsi="Calibri" w:cs="Calibri"/>
        </w:rPr>
        <w:t xml:space="preserve"> accounted for almost two thirds of all contacts this quarter – up 10% on same quarter last year. 93.1% of these callers were drop-in and 6.9% were appointments based.  Telephone callers to CISs declined by a quarter-this is a continuing pattern since the reintroduction of </w:t>
      </w:r>
      <w:r w:rsidR="00AE3F23">
        <w:rPr>
          <w:rFonts w:ascii="Calibri" w:eastAsiaTheme="majorEastAsia" w:hAnsi="Calibri" w:cs="Calibri"/>
        </w:rPr>
        <w:t>D</w:t>
      </w:r>
      <w:r>
        <w:rPr>
          <w:rFonts w:ascii="Calibri" w:eastAsiaTheme="majorEastAsia" w:hAnsi="Calibri" w:cs="Calibri"/>
        </w:rPr>
        <w:t>rop</w:t>
      </w:r>
      <w:r w:rsidR="00AE3F23">
        <w:rPr>
          <w:rFonts w:ascii="Calibri" w:eastAsiaTheme="majorEastAsia" w:hAnsi="Calibri" w:cs="Calibri"/>
        </w:rPr>
        <w:t>-</w:t>
      </w:r>
      <w:r>
        <w:rPr>
          <w:rFonts w:ascii="Calibri" w:eastAsiaTheme="majorEastAsia" w:hAnsi="Calibri" w:cs="Calibri"/>
        </w:rPr>
        <w:t>in and appointments post covid.</w:t>
      </w:r>
    </w:p>
    <w:p w14:paraId="098BF79D" w14:textId="5FFA201F" w:rsidR="00ED0D5E" w:rsidRDefault="00DC0649" w:rsidP="00A60A91">
      <w:pPr>
        <w:pStyle w:val="Heading1"/>
        <w:jc w:val="both"/>
        <w:rPr>
          <w:rFonts w:ascii="Calibri" w:hAnsi="Calibri" w:cs="Calibri"/>
          <w:color w:val="auto"/>
          <w:sz w:val="22"/>
          <w:szCs w:val="22"/>
        </w:rPr>
      </w:pPr>
      <w:r w:rsidRPr="0011591D">
        <w:rPr>
          <w:rFonts w:ascii="Calibri" w:hAnsi="Calibri" w:cs="Calibri"/>
          <w:b/>
          <w:sz w:val="24"/>
          <w:szCs w:val="24"/>
        </w:rPr>
        <w:t>Country of Origin</w:t>
      </w:r>
      <w:r w:rsidRPr="0011591D">
        <w:rPr>
          <w:rFonts w:ascii="Calibri" w:hAnsi="Calibri" w:cs="Calibri"/>
          <w:color w:val="auto"/>
          <w:sz w:val="18"/>
          <w:szCs w:val="18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was recorded </w:t>
      </w:r>
      <w:r w:rsidR="00972FE7">
        <w:rPr>
          <w:rFonts w:ascii="Calibri" w:hAnsi="Calibri" w:cs="Calibri"/>
          <w:color w:val="auto"/>
          <w:sz w:val="22"/>
          <w:szCs w:val="22"/>
        </w:rPr>
        <w:t>for almost two thirds of all callers</w:t>
      </w:r>
      <w:r w:rsidR="009A1E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E3F23" w:rsidRPr="00AE3F23">
        <w:rPr>
          <w:rFonts w:ascii="Calibri" w:hAnsi="Calibri" w:cs="Calibri"/>
          <w:color w:val="auto"/>
          <w:sz w:val="22"/>
          <w:szCs w:val="22"/>
        </w:rPr>
        <w:t>o</w:t>
      </w:r>
      <w:r w:rsidR="0079221E">
        <w:rPr>
          <w:rFonts w:ascii="Calibri" w:hAnsi="Calibri" w:cs="Calibri"/>
          <w:color w:val="auto"/>
          <w:sz w:val="22"/>
          <w:szCs w:val="22"/>
        </w:rPr>
        <w:t>f those</w:t>
      </w:r>
      <w:r w:rsidR="009A1E2E">
        <w:rPr>
          <w:rFonts w:ascii="Calibri" w:hAnsi="Calibri" w:cs="Calibri"/>
          <w:color w:val="auto"/>
          <w:sz w:val="22"/>
          <w:szCs w:val="22"/>
        </w:rPr>
        <w:t>,</w:t>
      </w:r>
      <w:r w:rsidR="0079221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469CD">
        <w:rPr>
          <w:rFonts w:ascii="Calibri" w:hAnsi="Calibri" w:cs="Calibri"/>
          <w:color w:val="auto"/>
          <w:sz w:val="22"/>
          <w:szCs w:val="22"/>
        </w:rPr>
        <w:t xml:space="preserve">74.7% of callers </w:t>
      </w:r>
      <w:r w:rsidR="009A1E2E">
        <w:rPr>
          <w:rFonts w:ascii="Calibri" w:hAnsi="Calibri" w:cs="Calibri"/>
          <w:color w:val="auto"/>
          <w:sz w:val="22"/>
          <w:szCs w:val="22"/>
        </w:rPr>
        <w:t>were from</w:t>
      </w:r>
      <w:r w:rsidR="00972FE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469CD">
        <w:rPr>
          <w:rFonts w:ascii="Calibri" w:hAnsi="Calibri" w:cs="Calibri"/>
          <w:color w:val="auto"/>
          <w:sz w:val="22"/>
          <w:szCs w:val="22"/>
        </w:rPr>
        <w:t>Ireland</w:t>
      </w:r>
      <w:r w:rsidR="0079221E">
        <w:rPr>
          <w:rFonts w:ascii="Calibri" w:hAnsi="Calibri" w:cs="Calibri"/>
          <w:color w:val="auto"/>
          <w:sz w:val="22"/>
          <w:szCs w:val="22"/>
        </w:rPr>
        <w:t>.</w:t>
      </w:r>
      <w:r w:rsidR="000469CD">
        <w:rPr>
          <w:rFonts w:ascii="Calibri" w:hAnsi="Calibri" w:cs="Calibri"/>
          <w:color w:val="auto"/>
          <w:sz w:val="22"/>
          <w:szCs w:val="22"/>
        </w:rPr>
        <w:t xml:space="preserve"> 3.3% of </w:t>
      </w:r>
      <w:r w:rsidR="0011591D">
        <w:rPr>
          <w:rFonts w:ascii="Calibri" w:hAnsi="Calibri" w:cs="Calibri"/>
          <w:color w:val="auto"/>
          <w:sz w:val="22"/>
          <w:szCs w:val="22"/>
        </w:rPr>
        <w:t>callers</w:t>
      </w:r>
      <w:r w:rsidR="000469C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9221E">
        <w:rPr>
          <w:rFonts w:ascii="Calibri" w:hAnsi="Calibri" w:cs="Calibri"/>
          <w:color w:val="auto"/>
          <w:sz w:val="22"/>
          <w:szCs w:val="22"/>
        </w:rPr>
        <w:t xml:space="preserve">were </w:t>
      </w:r>
      <w:r w:rsidR="00ED0D5E">
        <w:rPr>
          <w:rFonts w:ascii="Calibri" w:hAnsi="Calibri" w:cs="Calibri"/>
          <w:color w:val="auto"/>
          <w:sz w:val="22"/>
          <w:szCs w:val="22"/>
        </w:rPr>
        <w:t>from Poland</w:t>
      </w:r>
      <w:r w:rsidR="000469CD">
        <w:rPr>
          <w:rFonts w:ascii="Calibri" w:hAnsi="Calibri" w:cs="Calibri"/>
          <w:color w:val="auto"/>
          <w:sz w:val="22"/>
          <w:szCs w:val="22"/>
        </w:rPr>
        <w:t xml:space="preserve"> (2,173 callers), 2.6% </w:t>
      </w:r>
      <w:r w:rsidR="0079221E">
        <w:rPr>
          <w:rFonts w:ascii="Calibri" w:hAnsi="Calibri" w:cs="Calibri"/>
          <w:color w:val="auto"/>
          <w:sz w:val="22"/>
          <w:szCs w:val="22"/>
        </w:rPr>
        <w:t xml:space="preserve">were </w:t>
      </w:r>
      <w:r w:rsidR="000469CD">
        <w:rPr>
          <w:rFonts w:ascii="Calibri" w:hAnsi="Calibri" w:cs="Calibri"/>
          <w:color w:val="auto"/>
          <w:sz w:val="22"/>
          <w:szCs w:val="22"/>
        </w:rPr>
        <w:t>Ukrain</w:t>
      </w:r>
      <w:r w:rsidR="009A1E2E">
        <w:rPr>
          <w:rFonts w:ascii="Calibri" w:hAnsi="Calibri" w:cs="Calibri"/>
          <w:color w:val="auto"/>
          <w:sz w:val="22"/>
          <w:szCs w:val="22"/>
        </w:rPr>
        <w:t>ian</w:t>
      </w:r>
      <w:r w:rsidR="000469CD">
        <w:rPr>
          <w:rFonts w:ascii="Calibri" w:hAnsi="Calibri" w:cs="Calibri"/>
          <w:color w:val="auto"/>
          <w:sz w:val="22"/>
          <w:szCs w:val="22"/>
        </w:rPr>
        <w:t xml:space="preserve"> (1,693 callers) and 2.4% were from Nigeria (1,533).</w:t>
      </w:r>
      <w:r w:rsidR="006D5D70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9A1E2E">
        <w:rPr>
          <w:rFonts w:ascii="Calibri" w:hAnsi="Calibri" w:cs="Calibri"/>
          <w:color w:val="auto"/>
          <w:sz w:val="22"/>
          <w:szCs w:val="22"/>
        </w:rPr>
        <w:t>Where country of origin was recorded, n</w:t>
      </w:r>
      <w:r w:rsidR="0011591D">
        <w:rPr>
          <w:rFonts w:ascii="Calibri" w:hAnsi="Calibri" w:cs="Calibri"/>
          <w:color w:val="auto"/>
          <w:sz w:val="22"/>
          <w:szCs w:val="22"/>
        </w:rPr>
        <w:t>on-EU</w:t>
      </w:r>
      <w:r w:rsidR="006D5D70">
        <w:rPr>
          <w:rFonts w:ascii="Calibri" w:hAnsi="Calibri" w:cs="Calibri"/>
          <w:color w:val="auto"/>
          <w:sz w:val="22"/>
          <w:szCs w:val="22"/>
        </w:rPr>
        <w:t xml:space="preserve"> callers, including </w:t>
      </w:r>
      <w:r w:rsidR="00AF12B8">
        <w:rPr>
          <w:rFonts w:ascii="Calibri" w:hAnsi="Calibri" w:cs="Calibri"/>
          <w:color w:val="auto"/>
          <w:sz w:val="22"/>
          <w:szCs w:val="22"/>
        </w:rPr>
        <w:t xml:space="preserve">those from the </w:t>
      </w:r>
      <w:r w:rsidR="006D5D70">
        <w:rPr>
          <w:rFonts w:ascii="Calibri" w:hAnsi="Calibri" w:cs="Calibri"/>
          <w:color w:val="auto"/>
          <w:sz w:val="22"/>
          <w:szCs w:val="22"/>
        </w:rPr>
        <w:t>UK</w:t>
      </w:r>
      <w:r w:rsidR="00AF12B8">
        <w:rPr>
          <w:rFonts w:ascii="Calibri" w:hAnsi="Calibri" w:cs="Calibri"/>
          <w:color w:val="auto"/>
          <w:sz w:val="22"/>
          <w:szCs w:val="22"/>
        </w:rPr>
        <w:t xml:space="preserve">, represented over 16.48% (10,768) </w:t>
      </w:r>
      <w:r w:rsidR="006D5D70">
        <w:rPr>
          <w:rFonts w:ascii="Calibri" w:hAnsi="Calibri" w:cs="Calibri"/>
          <w:color w:val="auto"/>
          <w:sz w:val="22"/>
          <w:szCs w:val="22"/>
        </w:rPr>
        <w:t>of callers</w:t>
      </w:r>
      <w:r w:rsidR="00AF12B8">
        <w:rPr>
          <w:rFonts w:ascii="Calibri" w:hAnsi="Calibri" w:cs="Calibri"/>
          <w:color w:val="auto"/>
          <w:sz w:val="22"/>
          <w:szCs w:val="22"/>
        </w:rPr>
        <w:t xml:space="preserve"> this quarter with</w:t>
      </w:r>
      <w:r w:rsidR="006D5D70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A1E2E">
        <w:rPr>
          <w:rFonts w:ascii="Calibri" w:hAnsi="Calibri" w:cs="Calibri"/>
          <w:color w:val="auto"/>
          <w:sz w:val="22"/>
          <w:szCs w:val="22"/>
        </w:rPr>
        <w:t xml:space="preserve">the </w:t>
      </w:r>
      <w:r w:rsidR="006D5D70">
        <w:rPr>
          <w:rFonts w:ascii="Calibri" w:hAnsi="Calibri" w:cs="Calibri"/>
          <w:color w:val="auto"/>
          <w:sz w:val="22"/>
          <w:szCs w:val="22"/>
        </w:rPr>
        <w:t>EU/excluding I</w:t>
      </w:r>
      <w:r w:rsidR="00AF12B8">
        <w:rPr>
          <w:rFonts w:ascii="Calibri" w:hAnsi="Calibri" w:cs="Calibri"/>
          <w:color w:val="auto"/>
          <w:sz w:val="22"/>
          <w:szCs w:val="22"/>
        </w:rPr>
        <w:t xml:space="preserve">reland accounting </w:t>
      </w:r>
      <w:r w:rsidR="006D5D70">
        <w:rPr>
          <w:rFonts w:ascii="Calibri" w:hAnsi="Calibri" w:cs="Calibri"/>
          <w:color w:val="auto"/>
          <w:sz w:val="22"/>
          <w:szCs w:val="22"/>
        </w:rPr>
        <w:t>for 8.78%</w:t>
      </w:r>
      <w:r w:rsidR="00AF12B8">
        <w:rPr>
          <w:rFonts w:ascii="Calibri" w:hAnsi="Calibri" w:cs="Calibri"/>
          <w:color w:val="auto"/>
          <w:sz w:val="22"/>
          <w:szCs w:val="22"/>
        </w:rPr>
        <w:t xml:space="preserve"> (5,742)</w:t>
      </w:r>
      <w:r w:rsidR="006D5D70">
        <w:rPr>
          <w:rFonts w:ascii="Calibri" w:hAnsi="Calibri" w:cs="Calibri"/>
          <w:color w:val="auto"/>
          <w:sz w:val="22"/>
          <w:szCs w:val="22"/>
        </w:rPr>
        <w:t xml:space="preserve"> of ca</w:t>
      </w:r>
      <w:r w:rsidR="00AF12B8">
        <w:rPr>
          <w:rFonts w:ascii="Calibri" w:hAnsi="Calibri" w:cs="Calibri"/>
          <w:color w:val="auto"/>
          <w:sz w:val="22"/>
          <w:szCs w:val="22"/>
        </w:rPr>
        <w:t>llers</w:t>
      </w:r>
      <w:r w:rsidR="00C34B69">
        <w:rPr>
          <w:rFonts w:ascii="Calibri" w:hAnsi="Calibri" w:cs="Calibri"/>
          <w:color w:val="auto"/>
          <w:sz w:val="22"/>
          <w:szCs w:val="22"/>
        </w:rPr>
        <w:t>.</w:t>
      </w:r>
      <w:r w:rsidR="00AF12B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0EE2DFC" w14:textId="5D9C11CD" w:rsidR="000469CD" w:rsidRDefault="000469CD" w:rsidP="00A60A91">
      <w:pPr>
        <w:pStyle w:val="Heading1"/>
        <w:jc w:val="both"/>
        <w:rPr>
          <w:rFonts w:eastAsia="Times New Roman"/>
          <w:b/>
          <w:sz w:val="24"/>
          <w:szCs w:val="24"/>
          <w:lang w:eastAsia="en-IE"/>
        </w:rPr>
      </w:pPr>
      <w:r w:rsidRPr="00FC46FE">
        <w:rPr>
          <w:rFonts w:eastAsia="Times New Roman"/>
          <w:b/>
          <w:sz w:val="24"/>
          <w:szCs w:val="24"/>
          <w:lang w:eastAsia="en-IE"/>
        </w:rPr>
        <w:t xml:space="preserve">Table 4: </w:t>
      </w:r>
      <w:r w:rsidR="0079221E">
        <w:rPr>
          <w:rFonts w:eastAsia="Times New Roman"/>
          <w:b/>
          <w:sz w:val="24"/>
          <w:szCs w:val="24"/>
          <w:lang w:eastAsia="en-IE"/>
        </w:rPr>
        <w:t>Top 5 c</w:t>
      </w:r>
      <w:r w:rsidR="0079221E" w:rsidRPr="00FC46FE">
        <w:rPr>
          <w:rFonts w:eastAsia="Times New Roman"/>
          <w:b/>
          <w:sz w:val="24"/>
          <w:szCs w:val="24"/>
          <w:lang w:eastAsia="en-IE"/>
        </w:rPr>
        <w:t>allers’</w:t>
      </w:r>
      <w:r w:rsidRPr="00FC46FE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ED0D5E" w:rsidRPr="00FC46FE">
        <w:rPr>
          <w:rFonts w:eastAsia="Times New Roman"/>
          <w:b/>
          <w:sz w:val="24"/>
          <w:szCs w:val="24"/>
          <w:lang w:eastAsia="en-IE"/>
        </w:rPr>
        <w:t>countr</w:t>
      </w:r>
      <w:r w:rsidR="0079221E">
        <w:rPr>
          <w:rFonts w:eastAsia="Times New Roman"/>
          <w:b/>
          <w:sz w:val="24"/>
          <w:szCs w:val="24"/>
          <w:lang w:eastAsia="en-IE"/>
        </w:rPr>
        <w:t xml:space="preserve">ies </w:t>
      </w:r>
      <w:r w:rsidRPr="00FC46FE">
        <w:rPr>
          <w:rFonts w:eastAsia="Times New Roman"/>
          <w:b/>
          <w:sz w:val="24"/>
          <w:szCs w:val="24"/>
          <w:lang w:eastAsia="en-IE"/>
        </w:rPr>
        <w:t xml:space="preserve">of </w:t>
      </w:r>
      <w:r w:rsidR="00926991">
        <w:rPr>
          <w:rFonts w:eastAsia="Times New Roman"/>
          <w:b/>
          <w:sz w:val="24"/>
          <w:szCs w:val="24"/>
          <w:lang w:eastAsia="en-IE"/>
        </w:rPr>
        <w:t>o</w:t>
      </w:r>
      <w:r w:rsidR="00A60A91" w:rsidRPr="00FC46FE">
        <w:rPr>
          <w:rFonts w:eastAsia="Times New Roman"/>
          <w:b/>
          <w:sz w:val="24"/>
          <w:szCs w:val="24"/>
          <w:lang w:eastAsia="en-IE"/>
        </w:rPr>
        <w:t>rigin</w:t>
      </w:r>
      <w:r w:rsidRPr="00FC46FE">
        <w:rPr>
          <w:rFonts w:eastAsia="Times New Roman"/>
          <w:b/>
          <w:sz w:val="24"/>
          <w:szCs w:val="24"/>
          <w:lang w:eastAsia="en-IE"/>
        </w:rPr>
        <w:t xml:space="preserve"> by age</w:t>
      </w:r>
      <w:r w:rsidR="0079221E">
        <w:rPr>
          <w:rFonts w:eastAsia="Times New Roman"/>
          <w:b/>
          <w:sz w:val="24"/>
          <w:szCs w:val="24"/>
          <w:lang w:eastAsia="en-IE"/>
        </w:rPr>
        <w:t xml:space="preserve"> (excluding Ireland)</w:t>
      </w:r>
    </w:p>
    <w:tbl>
      <w:tblPr>
        <w:tblStyle w:val="GridTable5Dark-Accent6"/>
        <w:tblW w:w="9512" w:type="dxa"/>
        <w:tblLook w:val="04A0" w:firstRow="1" w:lastRow="0" w:firstColumn="1" w:lastColumn="0" w:noHBand="0" w:noVBand="1"/>
      </w:tblPr>
      <w:tblGrid>
        <w:gridCol w:w="1902"/>
        <w:gridCol w:w="1902"/>
        <w:gridCol w:w="1902"/>
        <w:gridCol w:w="1903"/>
        <w:gridCol w:w="1903"/>
      </w:tblGrid>
      <w:tr w:rsidR="000469CD" w14:paraId="385AB7EF" w14:textId="77777777" w:rsidTr="0014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14:paraId="588707F6" w14:textId="77777777" w:rsidR="000469CD" w:rsidRPr="00E9714B" w:rsidRDefault="000469CD" w:rsidP="001430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902" w:type="dxa"/>
          </w:tcPr>
          <w:p w14:paraId="4F49523E" w14:textId="77777777" w:rsidR="000469CD" w:rsidRPr="00E9714B" w:rsidRDefault="000469CD" w:rsidP="001430A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971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Under 25</w:t>
            </w:r>
          </w:p>
        </w:tc>
        <w:tc>
          <w:tcPr>
            <w:tcW w:w="1902" w:type="dxa"/>
          </w:tcPr>
          <w:p w14:paraId="4AE4E140" w14:textId="77777777" w:rsidR="000469CD" w:rsidRPr="00E9714B" w:rsidRDefault="000469CD" w:rsidP="001430A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971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26-45</w:t>
            </w:r>
          </w:p>
        </w:tc>
        <w:tc>
          <w:tcPr>
            <w:tcW w:w="1903" w:type="dxa"/>
          </w:tcPr>
          <w:p w14:paraId="49A22E17" w14:textId="77777777" w:rsidR="000469CD" w:rsidRPr="00E9714B" w:rsidRDefault="000469CD" w:rsidP="001430A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971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46-65</w:t>
            </w:r>
          </w:p>
        </w:tc>
        <w:tc>
          <w:tcPr>
            <w:tcW w:w="1903" w:type="dxa"/>
          </w:tcPr>
          <w:p w14:paraId="6DCEFA06" w14:textId="77777777" w:rsidR="000469CD" w:rsidRPr="00E9714B" w:rsidRDefault="000469CD" w:rsidP="001430A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971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66 and Over</w:t>
            </w:r>
          </w:p>
        </w:tc>
      </w:tr>
      <w:tr w:rsidR="000469CD" w14:paraId="1998D5D7" w14:textId="77777777" w:rsidTr="0014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14:paraId="0B4F1A21" w14:textId="77777777" w:rsidR="000469CD" w:rsidRPr="00E9714B" w:rsidRDefault="000469CD" w:rsidP="001430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971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1902" w:type="dxa"/>
          </w:tcPr>
          <w:p w14:paraId="74AA1058" w14:textId="77777777" w:rsidR="000469CD" w:rsidRPr="00FC46FE" w:rsidRDefault="000469CD" w:rsidP="001430A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Ukraine</w:t>
            </w:r>
          </w:p>
        </w:tc>
        <w:tc>
          <w:tcPr>
            <w:tcW w:w="1902" w:type="dxa"/>
          </w:tcPr>
          <w:p w14:paraId="3B41EE30" w14:textId="77777777" w:rsidR="000469CD" w:rsidRPr="00FC46FE" w:rsidRDefault="000469CD" w:rsidP="001430A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Poland</w:t>
            </w:r>
          </w:p>
        </w:tc>
        <w:tc>
          <w:tcPr>
            <w:tcW w:w="1903" w:type="dxa"/>
          </w:tcPr>
          <w:p w14:paraId="6B5B88C4" w14:textId="77777777" w:rsidR="000469CD" w:rsidRPr="00FC46FE" w:rsidRDefault="000469CD" w:rsidP="001430A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Poland</w:t>
            </w:r>
          </w:p>
        </w:tc>
        <w:tc>
          <w:tcPr>
            <w:tcW w:w="1903" w:type="dxa"/>
          </w:tcPr>
          <w:p w14:paraId="319AC589" w14:textId="77777777" w:rsidR="000469CD" w:rsidRPr="00FC46FE" w:rsidRDefault="000469CD" w:rsidP="001430A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United Kingdom</w:t>
            </w:r>
          </w:p>
        </w:tc>
      </w:tr>
      <w:tr w:rsidR="000469CD" w14:paraId="2CCD3E2B" w14:textId="77777777" w:rsidTr="001430A2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14:paraId="17504E02" w14:textId="77777777" w:rsidR="000469CD" w:rsidRPr="00E9714B" w:rsidRDefault="000469CD" w:rsidP="001430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971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1902" w:type="dxa"/>
          </w:tcPr>
          <w:p w14:paraId="7ECD5F57" w14:textId="77777777" w:rsidR="000469CD" w:rsidRPr="00FC46FE" w:rsidRDefault="000469CD" w:rsidP="001430A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Poland</w:t>
            </w:r>
          </w:p>
        </w:tc>
        <w:tc>
          <w:tcPr>
            <w:tcW w:w="1902" w:type="dxa"/>
          </w:tcPr>
          <w:p w14:paraId="27CF8AC9" w14:textId="77777777" w:rsidR="000469CD" w:rsidRPr="00FC46FE" w:rsidRDefault="000469CD" w:rsidP="001430A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Nigeria</w:t>
            </w:r>
          </w:p>
        </w:tc>
        <w:tc>
          <w:tcPr>
            <w:tcW w:w="1903" w:type="dxa"/>
          </w:tcPr>
          <w:p w14:paraId="600C165C" w14:textId="77777777" w:rsidR="000469CD" w:rsidRPr="00FC46FE" w:rsidRDefault="000469CD" w:rsidP="001430A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Nigeria</w:t>
            </w:r>
          </w:p>
        </w:tc>
        <w:tc>
          <w:tcPr>
            <w:tcW w:w="1903" w:type="dxa"/>
          </w:tcPr>
          <w:p w14:paraId="4AC2C35A" w14:textId="77777777" w:rsidR="000469CD" w:rsidRPr="00FC46FE" w:rsidRDefault="000469CD" w:rsidP="001430A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Ukraine</w:t>
            </w:r>
          </w:p>
        </w:tc>
      </w:tr>
      <w:tr w:rsidR="000469CD" w14:paraId="51076CEA" w14:textId="77777777" w:rsidTr="0014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14:paraId="58D6D5BB" w14:textId="77777777" w:rsidR="000469CD" w:rsidRPr="00E9714B" w:rsidRDefault="000469CD" w:rsidP="001430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971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1902" w:type="dxa"/>
          </w:tcPr>
          <w:p w14:paraId="44D2462B" w14:textId="77777777" w:rsidR="000469CD" w:rsidRPr="00FC46FE" w:rsidRDefault="000469CD" w:rsidP="001430A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Afghanistan </w:t>
            </w:r>
          </w:p>
        </w:tc>
        <w:tc>
          <w:tcPr>
            <w:tcW w:w="1902" w:type="dxa"/>
          </w:tcPr>
          <w:p w14:paraId="51DAB44A" w14:textId="77777777" w:rsidR="000469CD" w:rsidRPr="00FC46FE" w:rsidRDefault="000469CD" w:rsidP="001430A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Ukraine</w:t>
            </w:r>
          </w:p>
        </w:tc>
        <w:tc>
          <w:tcPr>
            <w:tcW w:w="1903" w:type="dxa"/>
          </w:tcPr>
          <w:p w14:paraId="4E435E76" w14:textId="77777777" w:rsidR="000469CD" w:rsidRPr="00FC46FE" w:rsidRDefault="000469CD" w:rsidP="001430A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United Kingdom</w:t>
            </w:r>
          </w:p>
        </w:tc>
        <w:tc>
          <w:tcPr>
            <w:tcW w:w="1903" w:type="dxa"/>
          </w:tcPr>
          <w:p w14:paraId="098BBE12" w14:textId="77777777" w:rsidR="000469CD" w:rsidRPr="00FC46FE" w:rsidRDefault="000469CD" w:rsidP="001430A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Poland</w:t>
            </w:r>
          </w:p>
        </w:tc>
      </w:tr>
      <w:tr w:rsidR="000469CD" w14:paraId="305CD6A4" w14:textId="77777777" w:rsidTr="001430A2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14:paraId="24EA2593" w14:textId="77777777" w:rsidR="000469CD" w:rsidRPr="00E9714B" w:rsidRDefault="000469CD" w:rsidP="001430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971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1902" w:type="dxa"/>
          </w:tcPr>
          <w:p w14:paraId="45B046B4" w14:textId="77777777" w:rsidR="000469CD" w:rsidRPr="00FC46FE" w:rsidRDefault="000469CD" w:rsidP="001430A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Nigeria</w:t>
            </w:r>
          </w:p>
        </w:tc>
        <w:tc>
          <w:tcPr>
            <w:tcW w:w="1902" w:type="dxa"/>
          </w:tcPr>
          <w:p w14:paraId="16953A1D" w14:textId="77777777" w:rsidR="000469CD" w:rsidRPr="00FC46FE" w:rsidRDefault="000469CD" w:rsidP="001430A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Romania</w:t>
            </w:r>
          </w:p>
        </w:tc>
        <w:tc>
          <w:tcPr>
            <w:tcW w:w="1903" w:type="dxa"/>
          </w:tcPr>
          <w:p w14:paraId="75E33263" w14:textId="77777777" w:rsidR="000469CD" w:rsidRPr="00FC46FE" w:rsidRDefault="000469CD" w:rsidP="001430A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Ukraine</w:t>
            </w:r>
          </w:p>
        </w:tc>
        <w:tc>
          <w:tcPr>
            <w:tcW w:w="1903" w:type="dxa"/>
          </w:tcPr>
          <w:p w14:paraId="28110796" w14:textId="77777777" w:rsidR="000469CD" w:rsidRPr="00FC46FE" w:rsidRDefault="000469CD" w:rsidP="001430A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Lithuania</w:t>
            </w:r>
          </w:p>
        </w:tc>
      </w:tr>
      <w:tr w:rsidR="000469CD" w14:paraId="5B6825D5" w14:textId="77777777" w:rsidTr="0014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14:paraId="74A3208D" w14:textId="77777777" w:rsidR="000469CD" w:rsidRDefault="000469CD" w:rsidP="001430A2">
            <w:pPr>
              <w:spacing w:line="240" w:lineRule="auto"/>
              <w:rPr>
                <w:rFonts w:ascii="Calibri" w:hAnsi="Calibri" w:cs="Calibri"/>
              </w:rPr>
            </w:pPr>
            <w:r w:rsidRPr="00E971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1902" w:type="dxa"/>
          </w:tcPr>
          <w:p w14:paraId="3124AC4C" w14:textId="77777777" w:rsidR="000469CD" w:rsidRPr="00FC46FE" w:rsidRDefault="000469CD" w:rsidP="001430A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Romania</w:t>
            </w:r>
          </w:p>
        </w:tc>
        <w:tc>
          <w:tcPr>
            <w:tcW w:w="1902" w:type="dxa"/>
          </w:tcPr>
          <w:p w14:paraId="66F2A8D0" w14:textId="77777777" w:rsidR="000469CD" w:rsidRPr="00FC46FE" w:rsidRDefault="000469CD" w:rsidP="001430A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Bangladesh</w:t>
            </w:r>
          </w:p>
        </w:tc>
        <w:tc>
          <w:tcPr>
            <w:tcW w:w="1903" w:type="dxa"/>
          </w:tcPr>
          <w:p w14:paraId="06431F2A" w14:textId="77777777" w:rsidR="000469CD" w:rsidRPr="00FC46FE" w:rsidRDefault="000469CD" w:rsidP="001430A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Romania</w:t>
            </w:r>
          </w:p>
        </w:tc>
        <w:tc>
          <w:tcPr>
            <w:tcW w:w="1903" w:type="dxa"/>
          </w:tcPr>
          <w:p w14:paraId="580F3B70" w14:textId="77777777" w:rsidR="000469CD" w:rsidRPr="00FC46FE" w:rsidRDefault="000469CD" w:rsidP="001430A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C46FE">
              <w:rPr>
                <w:rFonts w:ascii="Calibri" w:eastAsia="Times New Roman" w:hAnsi="Calibri" w:cs="Calibri"/>
                <w:color w:val="000000"/>
                <w:lang w:eastAsia="en-IE"/>
              </w:rPr>
              <w:t>Romania</w:t>
            </w:r>
          </w:p>
        </w:tc>
      </w:tr>
    </w:tbl>
    <w:p w14:paraId="3FF3C5BB" w14:textId="6C008D0E" w:rsidR="000469CD" w:rsidRPr="00A60A91" w:rsidRDefault="000469CD" w:rsidP="00A60A91">
      <w:pPr>
        <w:pStyle w:val="Heading1"/>
        <w:rPr>
          <w:rFonts w:eastAsia="Times New Roman"/>
          <w:b/>
          <w:sz w:val="24"/>
          <w:szCs w:val="24"/>
          <w:lang w:eastAsia="en-IE"/>
        </w:rPr>
      </w:pPr>
      <w:r>
        <w:rPr>
          <w:rFonts w:eastAsia="Times New Roman"/>
          <w:b/>
          <w:sz w:val="24"/>
          <w:szCs w:val="24"/>
          <w:lang w:eastAsia="en-IE"/>
        </w:rPr>
        <w:t>Specific Needs</w:t>
      </w:r>
    </w:p>
    <w:p w14:paraId="47300F5A" w14:textId="65979DCA" w:rsidR="00A60A91" w:rsidRDefault="000469CD" w:rsidP="00A60A91">
      <w:pPr>
        <w:jc w:val="both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There is </w:t>
      </w:r>
      <w:r w:rsidR="00972FE7">
        <w:rPr>
          <w:rFonts w:ascii="Calibri" w:eastAsiaTheme="majorEastAsia" w:hAnsi="Calibri" w:cs="Calibri"/>
        </w:rPr>
        <w:t>a percentage</w:t>
      </w:r>
      <w:r w:rsidR="00B0773A">
        <w:rPr>
          <w:rFonts w:ascii="Calibri" w:eastAsiaTheme="majorEastAsia" w:hAnsi="Calibri" w:cs="Calibri"/>
        </w:rPr>
        <w:t xml:space="preserve"> </w:t>
      </w:r>
      <w:r>
        <w:rPr>
          <w:rFonts w:ascii="Calibri" w:eastAsiaTheme="majorEastAsia" w:hAnsi="Calibri" w:cs="Calibri"/>
        </w:rPr>
        <w:t>of callers</w:t>
      </w:r>
      <w:r w:rsidR="00926991">
        <w:rPr>
          <w:rFonts w:ascii="Calibri" w:eastAsiaTheme="majorEastAsia" w:hAnsi="Calibri" w:cs="Calibri"/>
        </w:rPr>
        <w:t xml:space="preserve"> to</w:t>
      </w:r>
      <w:r w:rsidR="00B0773A">
        <w:rPr>
          <w:rFonts w:ascii="Calibri" w:eastAsiaTheme="majorEastAsia" w:hAnsi="Calibri" w:cs="Calibri"/>
        </w:rPr>
        <w:t xml:space="preserve"> </w:t>
      </w:r>
      <w:r w:rsidR="001F3353">
        <w:rPr>
          <w:rFonts w:ascii="Calibri" w:eastAsiaTheme="majorEastAsia" w:hAnsi="Calibri" w:cs="Calibri"/>
        </w:rPr>
        <w:t>CISs who</w:t>
      </w:r>
      <w:r w:rsidR="00B0773A">
        <w:rPr>
          <w:rFonts w:ascii="Calibri" w:eastAsiaTheme="majorEastAsia" w:hAnsi="Calibri" w:cs="Calibri"/>
        </w:rPr>
        <w:t xml:space="preserve"> have </w:t>
      </w:r>
      <w:r>
        <w:rPr>
          <w:rFonts w:ascii="Calibri" w:eastAsiaTheme="majorEastAsia" w:hAnsi="Calibri" w:cs="Calibri"/>
        </w:rPr>
        <w:t>s</w:t>
      </w:r>
      <w:r w:rsidRPr="000469CD">
        <w:rPr>
          <w:rFonts w:ascii="Calibri" w:eastAsiaTheme="majorEastAsia" w:hAnsi="Calibri" w:cs="Calibri"/>
        </w:rPr>
        <w:t xml:space="preserve">pecific </w:t>
      </w:r>
      <w:r w:rsidR="00ED0D5E">
        <w:rPr>
          <w:rFonts w:ascii="Calibri" w:eastAsiaTheme="majorEastAsia" w:hAnsi="Calibri" w:cs="Calibri"/>
        </w:rPr>
        <w:t>n</w:t>
      </w:r>
      <w:r w:rsidR="00ED0D5E" w:rsidRPr="000469CD">
        <w:rPr>
          <w:rFonts w:ascii="Calibri" w:eastAsiaTheme="majorEastAsia" w:hAnsi="Calibri" w:cs="Calibri"/>
        </w:rPr>
        <w:t>eeds</w:t>
      </w:r>
      <w:r w:rsidR="007423BD">
        <w:rPr>
          <w:rFonts w:ascii="Calibri" w:eastAsiaTheme="majorEastAsia" w:hAnsi="Calibri" w:cs="Calibri"/>
        </w:rPr>
        <w:t>.</w:t>
      </w:r>
      <w:r w:rsidR="00ED0D5E">
        <w:rPr>
          <w:rFonts w:ascii="Calibri" w:eastAsiaTheme="majorEastAsia" w:hAnsi="Calibri" w:cs="Calibri"/>
        </w:rPr>
        <w:t xml:space="preserve"> In</w:t>
      </w:r>
      <w:r>
        <w:rPr>
          <w:rFonts w:ascii="Calibri" w:eastAsiaTheme="majorEastAsia" w:hAnsi="Calibri" w:cs="Calibri"/>
        </w:rPr>
        <w:t xml:space="preserve"> Q1 2024</w:t>
      </w:r>
      <w:r w:rsidR="00B0773A">
        <w:rPr>
          <w:rFonts w:ascii="Calibri" w:eastAsiaTheme="majorEastAsia" w:hAnsi="Calibri" w:cs="Calibri"/>
        </w:rPr>
        <w:t>,</w:t>
      </w:r>
      <w:r>
        <w:rPr>
          <w:rFonts w:ascii="Calibri" w:eastAsiaTheme="majorEastAsia" w:hAnsi="Calibri" w:cs="Calibri"/>
        </w:rPr>
        <w:t xml:space="preserve"> 14% (14,861 callers)</w:t>
      </w:r>
      <w:r w:rsidR="00B0773A">
        <w:rPr>
          <w:rFonts w:ascii="Calibri" w:eastAsiaTheme="majorEastAsia" w:hAnsi="Calibri" w:cs="Calibri"/>
        </w:rPr>
        <w:t xml:space="preserve"> were identified by information providers as having particular needs or encountering barriers to accessing </w:t>
      </w:r>
      <w:r w:rsidR="001F3353">
        <w:rPr>
          <w:rFonts w:ascii="Calibri" w:eastAsiaTheme="majorEastAsia" w:hAnsi="Calibri" w:cs="Calibri"/>
        </w:rPr>
        <w:t>services, including</w:t>
      </w:r>
      <w:r w:rsidR="00B0773A">
        <w:rPr>
          <w:rFonts w:ascii="Calibri" w:eastAsiaTheme="majorEastAsia" w:hAnsi="Calibri" w:cs="Calibri"/>
        </w:rPr>
        <w:t xml:space="preserve"> language, literacy, online access issues</w:t>
      </w:r>
      <w:r w:rsidR="00AE3F23">
        <w:rPr>
          <w:rFonts w:ascii="Calibri" w:eastAsiaTheme="majorEastAsia" w:hAnsi="Calibri" w:cs="Calibri"/>
        </w:rPr>
        <w:t>.</w:t>
      </w:r>
      <w:r w:rsidR="00A60A91">
        <w:rPr>
          <w:rFonts w:ascii="Calibri" w:eastAsiaTheme="majorEastAsia" w:hAnsi="Calibri" w:cs="Calibri"/>
        </w:rPr>
        <w:t xml:space="preserve"> </w:t>
      </w:r>
      <w:r w:rsidR="00B0773A">
        <w:rPr>
          <w:rFonts w:ascii="Calibri" w:eastAsiaTheme="majorEastAsia" w:hAnsi="Calibri" w:cs="Calibri"/>
        </w:rPr>
        <w:t xml:space="preserve">Services recorded a ratio of 1.4 needs to callers with an </w:t>
      </w:r>
      <w:r w:rsidR="00A60A91">
        <w:rPr>
          <w:rFonts w:ascii="Calibri" w:eastAsiaTheme="majorEastAsia" w:hAnsi="Calibri" w:cs="Calibri"/>
        </w:rPr>
        <w:t>11.6%</w:t>
      </w:r>
      <w:r w:rsidR="00B0773A">
        <w:rPr>
          <w:rFonts w:ascii="Calibri" w:eastAsiaTheme="majorEastAsia" w:hAnsi="Calibri" w:cs="Calibri"/>
        </w:rPr>
        <w:t xml:space="preserve"> increase</w:t>
      </w:r>
      <w:r w:rsidR="00A60A91">
        <w:rPr>
          <w:rFonts w:ascii="Calibri" w:eastAsiaTheme="majorEastAsia" w:hAnsi="Calibri" w:cs="Calibri"/>
        </w:rPr>
        <w:t xml:space="preserve"> in the number of callers with specific needs.</w:t>
      </w:r>
      <w:r w:rsidR="000C322C">
        <w:rPr>
          <w:rFonts w:ascii="Calibri" w:eastAsiaTheme="majorEastAsia" w:hAnsi="Calibri" w:cs="Calibri"/>
        </w:rPr>
        <w:t xml:space="preserve"> Callers with specific needs </w:t>
      </w:r>
      <w:r w:rsidR="00972FE7">
        <w:rPr>
          <w:rFonts w:ascii="Calibri" w:eastAsiaTheme="majorEastAsia" w:hAnsi="Calibri" w:cs="Calibri"/>
        </w:rPr>
        <w:t>enquired most</w:t>
      </w:r>
      <w:r w:rsidR="000C322C">
        <w:rPr>
          <w:rFonts w:ascii="Calibri" w:eastAsiaTheme="majorEastAsia" w:hAnsi="Calibri" w:cs="Calibri"/>
        </w:rPr>
        <w:t xml:space="preserve"> about Disability Allowance, </w:t>
      </w:r>
      <w:r w:rsidR="007423BD">
        <w:rPr>
          <w:rFonts w:ascii="Calibri" w:eastAsiaTheme="majorEastAsia" w:hAnsi="Calibri" w:cs="Calibri"/>
        </w:rPr>
        <w:t>a</w:t>
      </w:r>
      <w:r w:rsidR="000C322C">
        <w:rPr>
          <w:rFonts w:ascii="Calibri" w:eastAsiaTheme="majorEastAsia" w:hAnsi="Calibri" w:cs="Calibri"/>
        </w:rPr>
        <w:t>pplying for Local Authority/Social Housing, Basic Supplementary Welfare Allowance, Jobseeker’s Allowance and Carer’s Allowance.</w:t>
      </w:r>
    </w:p>
    <w:p w14:paraId="59A9789C" w14:textId="1A0A47AA" w:rsidR="00A60A91" w:rsidRPr="000C322C" w:rsidRDefault="00A60A91" w:rsidP="000C322C">
      <w:pPr>
        <w:pStyle w:val="Heading1"/>
        <w:jc w:val="both"/>
        <w:rPr>
          <w:rFonts w:eastAsia="Times New Roman"/>
          <w:b/>
          <w:sz w:val="24"/>
          <w:szCs w:val="24"/>
          <w:lang w:eastAsia="en-IE"/>
        </w:rPr>
      </w:pPr>
      <w:r w:rsidRPr="000C322C">
        <w:rPr>
          <w:rFonts w:eastAsia="Times New Roman"/>
          <w:b/>
          <w:sz w:val="24"/>
          <w:szCs w:val="24"/>
          <w:lang w:eastAsia="en-IE"/>
        </w:rPr>
        <w:t xml:space="preserve">Table 5: </w:t>
      </w:r>
      <w:r w:rsidR="000C322C" w:rsidRPr="000C322C">
        <w:rPr>
          <w:rFonts w:eastAsia="Times New Roman"/>
          <w:b/>
          <w:sz w:val="24"/>
          <w:szCs w:val="24"/>
          <w:lang w:eastAsia="en-IE"/>
        </w:rPr>
        <w:t>Specific Needs Comparison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673"/>
        <w:gridCol w:w="2245"/>
      </w:tblGrid>
      <w:tr w:rsidR="00A60A91" w14:paraId="65C5ECD9" w14:textId="77777777" w:rsidTr="00194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1610D40" w14:textId="47B15076" w:rsidR="00A60A91" w:rsidRPr="000C322C" w:rsidRDefault="000C322C" w:rsidP="000C322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C32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Specific Needs</w:t>
            </w:r>
          </w:p>
        </w:tc>
        <w:tc>
          <w:tcPr>
            <w:tcW w:w="1701" w:type="dxa"/>
          </w:tcPr>
          <w:p w14:paraId="53460F0A" w14:textId="5EFDFE56" w:rsidR="00A60A91" w:rsidRPr="000C322C" w:rsidRDefault="000C322C" w:rsidP="000C322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C32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Q1 2023</w:t>
            </w:r>
          </w:p>
        </w:tc>
        <w:tc>
          <w:tcPr>
            <w:tcW w:w="1673" w:type="dxa"/>
          </w:tcPr>
          <w:p w14:paraId="41BBD4B7" w14:textId="4368AAA5" w:rsidR="00A60A91" w:rsidRPr="000C322C" w:rsidRDefault="000C322C" w:rsidP="000C322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C32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Q1 2024</w:t>
            </w:r>
          </w:p>
        </w:tc>
        <w:tc>
          <w:tcPr>
            <w:tcW w:w="2245" w:type="dxa"/>
          </w:tcPr>
          <w:p w14:paraId="5DDC4167" w14:textId="04C3A79E" w:rsidR="00A60A91" w:rsidRPr="000C322C" w:rsidRDefault="000C322C" w:rsidP="000C322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C32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% Change Q1 </w:t>
            </w:r>
            <w:r w:rsidR="00CF48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‘</w:t>
            </w:r>
            <w:r w:rsidRPr="000C32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23- Q1 </w:t>
            </w:r>
            <w:r w:rsidR="00CF48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‘</w:t>
            </w:r>
            <w:r w:rsidRPr="000C32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24</w:t>
            </w:r>
          </w:p>
        </w:tc>
      </w:tr>
      <w:tr w:rsidR="00A60A91" w14:paraId="7EF401C3" w14:textId="77777777" w:rsidTr="0019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51C3844" w14:textId="018774E8" w:rsidR="00A60A91" w:rsidRPr="00FD11E5" w:rsidRDefault="000C322C" w:rsidP="000C322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Language</w:t>
            </w:r>
          </w:p>
        </w:tc>
        <w:tc>
          <w:tcPr>
            <w:tcW w:w="1701" w:type="dxa"/>
          </w:tcPr>
          <w:p w14:paraId="56A77712" w14:textId="78ED0A81" w:rsidR="00A60A91" w:rsidRPr="00FD11E5" w:rsidRDefault="000C322C" w:rsidP="000C3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5,580</w:t>
            </w:r>
          </w:p>
        </w:tc>
        <w:tc>
          <w:tcPr>
            <w:tcW w:w="1673" w:type="dxa"/>
          </w:tcPr>
          <w:p w14:paraId="718FDCCE" w14:textId="720BE17E" w:rsidR="00A60A91" w:rsidRPr="00FD11E5" w:rsidRDefault="000C322C" w:rsidP="000C3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5,934</w:t>
            </w:r>
          </w:p>
        </w:tc>
        <w:tc>
          <w:tcPr>
            <w:tcW w:w="2245" w:type="dxa"/>
          </w:tcPr>
          <w:p w14:paraId="3716C0EC" w14:textId="61212FA4" w:rsidR="00A60A91" w:rsidRPr="00B86ACB" w:rsidRDefault="00BB5F29" w:rsidP="000C3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</w:t>
            </w:r>
            <w:r w:rsidR="00B0773A" w:rsidRPr="00B86ACB">
              <w:rPr>
                <w:rFonts w:ascii="Calibri" w:hAnsi="Calibri" w:cs="Calibri"/>
                <w:color w:val="006100"/>
              </w:rPr>
              <w:t>6.34%</w:t>
            </w:r>
          </w:p>
        </w:tc>
      </w:tr>
      <w:tr w:rsidR="000C322C" w14:paraId="1324B1AB" w14:textId="77777777" w:rsidTr="00194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1F4827C" w14:textId="2D537AE1" w:rsidR="000C322C" w:rsidRPr="00FD11E5" w:rsidRDefault="000C322C" w:rsidP="000C322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Distressed Client</w:t>
            </w:r>
          </w:p>
        </w:tc>
        <w:tc>
          <w:tcPr>
            <w:tcW w:w="1701" w:type="dxa"/>
            <w:vAlign w:val="bottom"/>
          </w:tcPr>
          <w:p w14:paraId="4C3EB792" w14:textId="5ECA677D" w:rsidR="000C322C" w:rsidRPr="00FD11E5" w:rsidRDefault="000C322C" w:rsidP="000C3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2,786</w:t>
            </w:r>
          </w:p>
        </w:tc>
        <w:tc>
          <w:tcPr>
            <w:tcW w:w="1673" w:type="dxa"/>
            <w:vAlign w:val="bottom"/>
          </w:tcPr>
          <w:p w14:paraId="1D1544DE" w14:textId="15F100C7" w:rsidR="000C322C" w:rsidRPr="00FD11E5" w:rsidRDefault="000C322C" w:rsidP="000C3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3,219</w:t>
            </w:r>
          </w:p>
        </w:tc>
        <w:tc>
          <w:tcPr>
            <w:tcW w:w="2245" w:type="dxa"/>
          </w:tcPr>
          <w:p w14:paraId="53FFB08B" w14:textId="5B1935EE" w:rsidR="000C322C" w:rsidRPr="00B86ACB" w:rsidRDefault="0079221E" w:rsidP="000C3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</w:t>
            </w:r>
            <w:r w:rsidR="00546662" w:rsidRPr="00B86ACB">
              <w:rPr>
                <w:rFonts w:ascii="Calibri" w:hAnsi="Calibri" w:cs="Calibri"/>
                <w:color w:val="006100"/>
              </w:rPr>
              <w:t>15.5%</w:t>
            </w:r>
          </w:p>
        </w:tc>
      </w:tr>
      <w:tr w:rsidR="000C322C" w14:paraId="697F98C7" w14:textId="77777777" w:rsidTr="0019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1C0B98D" w14:textId="2D359CFB" w:rsidR="000C322C" w:rsidRPr="00FD11E5" w:rsidRDefault="000C322C" w:rsidP="000C322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Literacy</w:t>
            </w:r>
          </w:p>
        </w:tc>
        <w:tc>
          <w:tcPr>
            <w:tcW w:w="1701" w:type="dxa"/>
            <w:vAlign w:val="bottom"/>
          </w:tcPr>
          <w:p w14:paraId="599B1430" w14:textId="70E9E45B" w:rsidR="000C322C" w:rsidRPr="00FD11E5" w:rsidRDefault="000C322C" w:rsidP="000C3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1,933</w:t>
            </w:r>
          </w:p>
        </w:tc>
        <w:tc>
          <w:tcPr>
            <w:tcW w:w="1673" w:type="dxa"/>
            <w:vAlign w:val="bottom"/>
          </w:tcPr>
          <w:p w14:paraId="2D625799" w14:textId="59B78804" w:rsidR="000C322C" w:rsidRPr="00FD11E5" w:rsidRDefault="000C322C" w:rsidP="000C3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2,014</w:t>
            </w:r>
          </w:p>
        </w:tc>
        <w:tc>
          <w:tcPr>
            <w:tcW w:w="2245" w:type="dxa"/>
          </w:tcPr>
          <w:p w14:paraId="30C7511D" w14:textId="752C622D" w:rsidR="000C322C" w:rsidRPr="00B86ACB" w:rsidRDefault="000C322C" w:rsidP="000C3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+4.2%</w:t>
            </w:r>
          </w:p>
        </w:tc>
      </w:tr>
      <w:tr w:rsidR="000C322C" w14:paraId="11A6011E" w14:textId="77777777" w:rsidTr="00194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F1502ED" w14:textId="1F497D64" w:rsidR="000C322C" w:rsidRPr="00FD11E5" w:rsidRDefault="000C322C" w:rsidP="000C322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Digital Literacy</w:t>
            </w:r>
          </w:p>
        </w:tc>
        <w:tc>
          <w:tcPr>
            <w:tcW w:w="1701" w:type="dxa"/>
            <w:vAlign w:val="bottom"/>
          </w:tcPr>
          <w:p w14:paraId="441E28DF" w14:textId="57EA6E45" w:rsidR="000C322C" w:rsidRPr="00FD11E5" w:rsidRDefault="000C322C" w:rsidP="000C3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1,337</w:t>
            </w:r>
          </w:p>
        </w:tc>
        <w:tc>
          <w:tcPr>
            <w:tcW w:w="1673" w:type="dxa"/>
            <w:vAlign w:val="bottom"/>
          </w:tcPr>
          <w:p w14:paraId="5412C6A1" w14:textId="5795269B" w:rsidR="000C322C" w:rsidRPr="00FD11E5" w:rsidRDefault="000C322C" w:rsidP="000C3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1,949</w:t>
            </w:r>
          </w:p>
        </w:tc>
        <w:tc>
          <w:tcPr>
            <w:tcW w:w="2245" w:type="dxa"/>
          </w:tcPr>
          <w:p w14:paraId="6F5B0399" w14:textId="1916E652" w:rsidR="000C322C" w:rsidRPr="00B86ACB" w:rsidRDefault="000C322C" w:rsidP="000C3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+45.8%</w:t>
            </w:r>
          </w:p>
        </w:tc>
      </w:tr>
      <w:tr w:rsidR="000C322C" w14:paraId="1ADEDF69" w14:textId="77777777" w:rsidTr="0019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8858B2E" w14:textId="05F1D508" w:rsidR="000C322C" w:rsidRPr="00FD11E5" w:rsidRDefault="000C322C" w:rsidP="000C322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No online/ IT Access</w:t>
            </w:r>
          </w:p>
        </w:tc>
        <w:tc>
          <w:tcPr>
            <w:tcW w:w="1701" w:type="dxa"/>
            <w:vAlign w:val="bottom"/>
          </w:tcPr>
          <w:p w14:paraId="26392ECA" w14:textId="1A3D0CA1" w:rsidR="000C322C" w:rsidRPr="00FD11E5" w:rsidRDefault="000C322C" w:rsidP="000C3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1,278</w:t>
            </w:r>
          </w:p>
        </w:tc>
        <w:tc>
          <w:tcPr>
            <w:tcW w:w="1673" w:type="dxa"/>
            <w:vAlign w:val="bottom"/>
          </w:tcPr>
          <w:p w14:paraId="7AC4D55E" w14:textId="7682FD51" w:rsidR="000C322C" w:rsidRPr="00FD11E5" w:rsidRDefault="000C322C" w:rsidP="000C3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1,458</w:t>
            </w:r>
          </w:p>
        </w:tc>
        <w:tc>
          <w:tcPr>
            <w:tcW w:w="2245" w:type="dxa"/>
          </w:tcPr>
          <w:p w14:paraId="6C3A7D1E" w14:textId="2275A137" w:rsidR="000C322C" w:rsidRPr="00B86ACB" w:rsidRDefault="000C322C" w:rsidP="000C3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+14.1%</w:t>
            </w:r>
          </w:p>
        </w:tc>
      </w:tr>
      <w:tr w:rsidR="000C322C" w14:paraId="60AF473A" w14:textId="77777777" w:rsidTr="00194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32D8E31" w14:textId="38017550" w:rsidR="000C322C" w:rsidRPr="00FD11E5" w:rsidRDefault="000C322C" w:rsidP="000C322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Mental Health</w:t>
            </w:r>
          </w:p>
        </w:tc>
        <w:tc>
          <w:tcPr>
            <w:tcW w:w="1701" w:type="dxa"/>
            <w:vAlign w:val="bottom"/>
          </w:tcPr>
          <w:p w14:paraId="35B4DFD8" w14:textId="4943C63A" w:rsidR="000C322C" w:rsidRPr="00FD11E5" w:rsidRDefault="000C322C" w:rsidP="000C3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745</w:t>
            </w:r>
          </w:p>
        </w:tc>
        <w:tc>
          <w:tcPr>
            <w:tcW w:w="1673" w:type="dxa"/>
            <w:vAlign w:val="bottom"/>
          </w:tcPr>
          <w:p w14:paraId="76FC26A0" w14:textId="48186FC5" w:rsidR="000C322C" w:rsidRPr="00FD11E5" w:rsidRDefault="000C322C" w:rsidP="000C3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981</w:t>
            </w:r>
          </w:p>
        </w:tc>
        <w:tc>
          <w:tcPr>
            <w:tcW w:w="2245" w:type="dxa"/>
          </w:tcPr>
          <w:p w14:paraId="4262BB11" w14:textId="23BCBC53" w:rsidR="000C322C" w:rsidRPr="00B86ACB" w:rsidRDefault="000C322C" w:rsidP="000C3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+31.7%</w:t>
            </w:r>
          </w:p>
        </w:tc>
      </w:tr>
      <w:tr w:rsidR="000C322C" w14:paraId="655482EC" w14:textId="77777777" w:rsidTr="0019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F4C63EC" w14:textId="698CB93C" w:rsidR="000C322C" w:rsidRPr="00FD11E5" w:rsidRDefault="000C322C" w:rsidP="000C322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Physical </w:t>
            </w:r>
          </w:p>
        </w:tc>
        <w:tc>
          <w:tcPr>
            <w:tcW w:w="1701" w:type="dxa"/>
            <w:vAlign w:val="bottom"/>
          </w:tcPr>
          <w:p w14:paraId="70A22521" w14:textId="6C84A417" w:rsidR="000C322C" w:rsidRPr="00FD11E5" w:rsidRDefault="000C322C" w:rsidP="000C3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871</w:t>
            </w:r>
          </w:p>
        </w:tc>
        <w:tc>
          <w:tcPr>
            <w:tcW w:w="1673" w:type="dxa"/>
            <w:vAlign w:val="bottom"/>
          </w:tcPr>
          <w:p w14:paraId="17775F5F" w14:textId="37980A28" w:rsidR="000C322C" w:rsidRPr="00FD11E5" w:rsidRDefault="000C322C" w:rsidP="000C3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D11E5">
              <w:rPr>
                <w:rFonts w:ascii="Calibri" w:eastAsia="Times New Roman" w:hAnsi="Calibri" w:cs="Calibri"/>
                <w:color w:val="000000"/>
                <w:lang w:eastAsia="en-IE"/>
              </w:rPr>
              <w:t>976</w:t>
            </w:r>
          </w:p>
        </w:tc>
        <w:tc>
          <w:tcPr>
            <w:tcW w:w="2245" w:type="dxa"/>
          </w:tcPr>
          <w:p w14:paraId="59928711" w14:textId="2F0FB84E" w:rsidR="000C322C" w:rsidRPr="00B86ACB" w:rsidRDefault="000C322C" w:rsidP="000C3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+12.1%</w:t>
            </w:r>
          </w:p>
        </w:tc>
      </w:tr>
      <w:tr w:rsidR="00CF48A6" w14:paraId="5DC369D1" w14:textId="77777777" w:rsidTr="00194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CEFBE75" w14:textId="5776742D" w:rsidR="00CF48A6" w:rsidRPr="00FD11E5" w:rsidRDefault="00CF48A6" w:rsidP="000C322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Accompanied/ Supported by family member/ friend/representative</w:t>
            </w:r>
          </w:p>
        </w:tc>
        <w:tc>
          <w:tcPr>
            <w:tcW w:w="1701" w:type="dxa"/>
            <w:vAlign w:val="bottom"/>
          </w:tcPr>
          <w:p w14:paraId="346A5E27" w14:textId="7E60CDB7" w:rsidR="00CF48A6" w:rsidRPr="00FD11E5" w:rsidRDefault="00CF48A6" w:rsidP="000C3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684</w:t>
            </w:r>
          </w:p>
        </w:tc>
        <w:tc>
          <w:tcPr>
            <w:tcW w:w="1673" w:type="dxa"/>
            <w:vAlign w:val="bottom"/>
          </w:tcPr>
          <w:p w14:paraId="6FAADB3A" w14:textId="067BAE3A" w:rsidR="00CF48A6" w:rsidRPr="00FD11E5" w:rsidRDefault="00CF48A6" w:rsidP="000C3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867</w:t>
            </w:r>
          </w:p>
        </w:tc>
        <w:tc>
          <w:tcPr>
            <w:tcW w:w="2245" w:type="dxa"/>
          </w:tcPr>
          <w:p w14:paraId="5A92EFCF" w14:textId="77777777" w:rsidR="00CF48A6" w:rsidRPr="00B86ACB" w:rsidRDefault="00CF48A6" w:rsidP="000C3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</w:p>
          <w:p w14:paraId="66535685" w14:textId="77777777" w:rsidR="00BB5F29" w:rsidRPr="00B86ACB" w:rsidRDefault="00BB5F29" w:rsidP="00BB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</w:p>
          <w:p w14:paraId="08A930D7" w14:textId="1DB4BC41" w:rsidR="00BB5F29" w:rsidRPr="00B86ACB" w:rsidRDefault="00BB5F29" w:rsidP="00BB5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+26.8%</w:t>
            </w:r>
          </w:p>
        </w:tc>
      </w:tr>
      <w:tr w:rsidR="00BB5F29" w14:paraId="07252B4E" w14:textId="77777777" w:rsidTr="0019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745110B" w14:textId="3FD79373" w:rsidR="00BB5F29" w:rsidRDefault="00BB5F29" w:rsidP="00BB5F2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Other</w:t>
            </w:r>
          </w:p>
        </w:tc>
        <w:tc>
          <w:tcPr>
            <w:tcW w:w="1701" w:type="dxa"/>
            <w:vAlign w:val="bottom"/>
          </w:tcPr>
          <w:p w14:paraId="6FAB9501" w14:textId="080E7ECF" w:rsidR="00BB5F29" w:rsidRPr="00FD11E5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455</w:t>
            </w:r>
          </w:p>
        </w:tc>
        <w:tc>
          <w:tcPr>
            <w:tcW w:w="1673" w:type="dxa"/>
            <w:vAlign w:val="bottom"/>
          </w:tcPr>
          <w:p w14:paraId="2480488B" w14:textId="30C1D7B0" w:rsidR="00BB5F29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492</w:t>
            </w:r>
          </w:p>
        </w:tc>
        <w:tc>
          <w:tcPr>
            <w:tcW w:w="2245" w:type="dxa"/>
            <w:vAlign w:val="bottom"/>
          </w:tcPr>
          <w:p w14:paraId="686BB5AA" w14:textId="1C7AF105" w:rsidR="00BB5F29" w:rsidRPr="00B86ACB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+8.1%</w:t>
            </w:r>
          </w:p>
        </w:tc>
      </w:tr>
      <w:tr w:rsidR="00BB5F29" w14:paraId="7E10513A" w14:textId="77777777" w:rsidTr="00194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DDBA968" w14:textId="4CB431D2" w:rsidR="00BB5F29" w:rsidRDefault="00BB5F29" w:rsidP="00BB5F2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Challenging behaviour</w:t>
            </w:r>
          </w:p>
        </w:tc>
        <w:tc>
          <w:tcPr>
            <w:tcW w:w="1701" w:type="dxa"/>
            <w:vAlign w:val="bottom"/>
          </w:tcPr>
          <w:p w14:paraId="7EFECB40" w14:textId="41F2C2AD" w:rsidR="00BB5F29" w:rsidRPr="00FD11E5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398</w:t>
            </w:r>
          </w:p>
        </w:tc>
        <w:tc>
          <w:tcPr>
            <w:tcW w:w="1673" w:type="dxa"/>
            <w:vAlign w:val="bottom"/>
          </w:tcPr>
          <w:p w14:paraId="0FC8599A" w14:textId="15B32C2C" w:rsidR="00BB5F29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404</w:t>
            </w:r>
          </w:p>
        </w:tc>
        <w:tc>
          <w:tcPr>
            <w:tcW w:w="2245" w:type="dxa"/>
            <w:vAlign w:val="bottom"/>
          </w:tcPr>
          <w:p w14:paraId="14222C75" w14:textId="5DF9C97C" w:rsidR="00BB5F29" w:rsidRPr="00B86ACB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+1.5%</w:t>
            </w:r>
          </w:p>
        </w:tc>
      </w:tr>
      <w:tr w:rsidR="00BB5F29" w14:paraId="3A7A2CC5" w14:textId="77777777" w:rsidTr="0019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440CC54" w14:textId="5F473060" w:rsidR="00BB5F29" w:rsidRDefault="00BB5F29" w:rsidP="00BB5F2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Aural (hearing)</w:t>
            </w:r>
          </w:p>
        </w:tc>
        <w:tc>
          <w:tcPr>
            <w:tcW w:w="1701" w:type="dxa"/>
            <w:vAlign w:val="bottom"/>
          </w:tcPr>
          <w:p w14:paraId="44EB5B5A" w14:textId="1D5D3408" w:rsidR="00BB5F29" w:rsidRPr="00FD11E5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275</w:t>
            </w:r>
          </w:p>
        </w:tc>
        <w:tc>
          <w:tcPr>
            <w:tcW w:w="1673" w:type="dxa"/>
            <w:vAlign w:val="bottom"/>
          </w:tcPr>
          <w:p w14:paraId="141C6550" w14:textId="4F2F9BF8" w:rsidR="00BB5F29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312</w:t>
            </w:r>
          </w:p>
        </w:tc>
        <w:tc>
          <w:tcPr>
            <w:tcW w:w="2245" w:type="dxa"/>
            <w:vAlign w:val="bottom"/>
          </w:tcPr>
          <w:p w14:paraId="20676AD5" w14:textId="4C2EFD95" w:rsidR="00BB5F29" w:rsidRPr="00B86ACB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+13.5%</w:t>
            </w:r>
          </w:p>
        </w:tc>
      </w:tr>
      <w:tr w:rsidR="00BB5F29" w14:paraId="5B78BDAE" w14:textId="77777777" w:rsidTr="00194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960CCF4" w14:textId="75B7D7E7" w:rsidR="00BB5F29" w:rsidRDefault="00BB5F29" w:rsidP="00BB5F2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Homeless</w:t>
            </w:r>
          </w:p>
        </w:tc>
        <w:tc>
          <w:tcPr>
            <w:tcW w:w="1701" w:type="dxa"/>
            <w:vAlign w:val="bottom"/>
          </w:tcPr>
          <w:p w14:paraId="51A37851" w14:textId="465C41C4" w:rsidR="00BB5F29" w:rsidRPr="00FD11E5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202</w:t>
            </w:r>
          </w:p>
        </w:tc>
        <w:tc>
          <w:tcPr>
            <w:tcW w:w="1673" w:type="dxa"/>
            <w:vAlign w:val="bottom"/>
          </w:tcPr>
          <w:p w14:paraId="074BA6CD" w14:textId="60F923CD" w:rsidR="00BB5F29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291</w:t>
            </w:r>
          </w:p>
        </w:tc>
        <w:tc>
          <w:tcPr>
            <w:tcW w:w="2245" w:type="dxa"/>
            <w:vAlign w:val="bottom"/>
          </w:tcPr>
          <w:p w14:paraId="7C4AC51C" w14:textId="730D4882" w:rsidR="00BB5F29" w:rsidRPr="00B86ACB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+44.1%</w:t>
            </w:r>
          </w:p>
        </w:tc>
      </w:tr>
      <w:tr w:rsidR="00BB5F29" w14:paraId="30B35813" w14:textId="77777777" w:rsidTr="0019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8B0CB2C" w14:textId="6A9B3633" w:rsidR="00BB5F29" w:rsidRDefault="00BB5F29" w:rsidP="00BB5F2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Intellectual</w:t>
            </w:r>
          </w:p>
        </w:tc>
        <w:tc>
          <w:tcPr>
            <w:tcW w:w="1701" w:type="dxa"/>
            <w:vAlign w:val="bottom"/>
          </w:tcPr>
          <w:p w14:paraId="116F30E7" w14:textId="161C0ACF" w:rsidR="00BB5F29" w:rsidRPr="00FD11E5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185</w:t>
            </w:r>
          </w:p>
        </w:tc>
        <w:tc>
          <w:tcPr>
            <w:tcW w:w="1673" w:type="dxa"/>
            <w:vAlign w:val="bottom"/>
          </w:tcPr>
          <w:p w14:paraId="71B3C031" w14:textId="3707AAA8" w:rsidR="00BB5F29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262</w:t>
            </w:r>
          </w:p>
        </w:tc>
        <w:tc>
          <w:tcPr>
            <w:tcW w:w="2245" w:type="dxa"/>
            <w:vAlign w:val="bottom"/>
          </w:tcPr>
          <w:p w14:paraId="17E1136F" w14:textId="1F5AB768" w:rsidR="00BB5F29" w:rsidRPr="00B86ACB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+41.6%</w:t>
            </w:r>
          </w:p>
        </w:tc>
      </w:tr>
      <w:tr w:rsidR="00BB5F29" w14:paraId="40F42072" w14:textId="77777777" w:rsidTr="00194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25D46D1" w14:textId="5AF432B8" w:rsidR="00BB5F29" w:rsidRDefault="00BB5F29" w:rsidP="00BB5F2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Transport/ Access Difficulties</w:t>
            </w:r>
          </w:p>
        </w:tc>
        <w:tc>
          <w:tcPr>
            <w:tcW w:w="1701" w:type="dxa"/>
            <w:vAlign w:val="bottom"/>
          </w:tcPr>
          <w:p w14:paraId="3F728F6D" w14:textId="3E3FB427" w:rsidR="00BB5F29" w:rsidRPr="00FD11E5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292</w:t>
            </w:r>
          </w:p>
        </w:tc>
        <w:tc>
          <w:tcPr>
            <w:tcW w:w="1673" w:type="dxa"/>
            <w:vAlign w:val="bottom"/>
          </w:tcPr>
          <w:p w14:paraId="28F517B9" w14:textId="3BF7EC51" w:rsidR="00BB5F29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239</w:t>
            </w:r>
          </w:p>
        </w:tc>
        <w:tc>
          <w:tcPr>
            <w:tcW w:w="2245" w:type="dxa"/>
            <w:vAlign w:val="bottom"/>
          </w:tcPr>
          <w:p w14:paraId="5D9BE6DA" w14:textId="763ACEF8" w:rsidR="00BB5F29" w:rsidRPr="00B86ACB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-18.2%</w:t>
            </w:r>
          </w:p>
        </w:tc>
      </w:tr>
      <w:tr w:rsidR="00BB5F29" w14:paraId="48D2C211" w14:textId="77777777" w:rsidTr="0019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58B3BFC" w14:textId="7BC34A40" w:rsidR="00BB5F29" w:rsidRDefault="00BB5F29" w:rsidP="00BB5F2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CIC Translation</w:t>
            </w:r>
          </w:p>
        </w:tc>
        <w:tc>
          <w:tcPr>
            <w:tcW w:w="1701" w:type="dxa"/>
            <w:vAlign w:val="bottom"/>
          </w:tcPr>
          <w:p w14:paraId="6988F4EE" w14:textId="6C17D1CB" w:rsidR="00BB5F29" w:rsidRPr="00FD11E5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94</w:t>
            </w:r>
          </w:p>
        </w:tc>
        <w:tc>
          <w:tcPr>
            <w:tcW w:w="1673" w:type="dxa"/>
            <w:vAlign w:val="bottom"/>
          </w:tcPr>
          <w:p w14:paraId="46294C1E" w14:textId="5AC0A4C4" w:rsidR="00BB5F29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185</w:t>
            </w:r>
          </w:p>
        </w:tc>
        <w:tc>
          <w:tcPr>
            <w:tcW w:w="2245" w:type="dxa"/>
            <w:vAlign w:val="bottom"/>
          </w:tcPr>
          <w:p w14:paraId="3959E5D4" w14:textId="176A820A" w:rsidR="00BB5F29" w:rsidRPr="00B86ACB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+96.8%</w:t>
            </w:r>
            <w:r w:rsidR="007423BD" w:rsidRPr="00B86ACB">
              <w:rPr>
                <w:rFonts w:ascii="Calibri" w:hAnsi="Calibri" w:cs="Calibri"/>
                <w:color w:val="006100"/>
              </w:rPr>
              <w:t>*</w:t>
            </w:r>
          </w:p>
        </w:tc>
      </w:tr>
      <w:tr w:rsidR="00BB5F29" w14:paraId="4815D1F6" w14:textId="77777777" w:rsidTr="00194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96166BA" w14:textId="135CDB6A" w:rsidR="00BB5F29" w:rsidRDefault="00BB5F29" w:rsidP="00BB5F2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Limited availability due to caring responsibilities</w:t>
            </w:r>
          </w:p>
        </w:tc>
        <w:tc>
          <w:tcPr>
            <w:tcW w:w="1701" w:type="dxa"/>
            <w:vAlign w:val="bottom"/>
          </w:tcPr>
          <w:p w14:paraId="68AEC4EF" w14:textId="1227F076" w:rsidR="00BB5F29" w:rsidRPr="00FD11E5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225</w:t>
            </w:r>
          </w:p>
        </w:tc>
        <w:tc>
          <w:tcPr>
            <w:tcW w:w="1673" w:type="dxa"/>
            <w:vAlign w:val="bottom"/>
          </w:tcPr>
          <w:p w14:paraId="13C5FD16" w14:textId="79904B7C" w:rsidR="00BB5F29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182</w:t>
            </w:r>
          </w:p>
        </w:tc>
        <w:tc>
          <w:tcPr>
            <w:tcW w:w="2245" w:type="dxa"/>
            <w:vAlign w:val="bottom"/>
          </w:tcPr>
          <w:p w14:paraId="2D8AFCED" w14:textId="40B04DC1" w:rsidR="00BB5F29" w:rsidRPr="00B86ACB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-19.1%</w:t>
            </w:r>
          </w:p>
        </w:tc>
      </w:tr>
      <w:tr w:rsidR="00BB5F29" w14:paraId="36CA9D1E" w14:textId="77777777" w:rsidTr="0019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E15F4FD" w14:textId="5E546C2E" w:rsidR="00BB5F29" w:rsidRDefault="00BB5F29" w:rsidP="00BB5F2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Visual</w:t>
            </w:r>
          </w:p>
        </w:tc>
        <w:tc>
          <w:tcPr>
            <w:tcW w:w="1701" w:type="dxa"/>
            <w:vAlign w:val="bottom"/>
          </w:tcPr>
          <w:p w14:paraId="0B6471A5" w14:textId="35FDD4A2" w:rsidR="00BB5F29" w:rsidRPr="00FD11E5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142</w:t>
            </w:r>
          </w:p>
        </w:tc>
        <w:tc>
          <w:tcPr>
            <w:tcW w:w="1673" w:type="dxa"/>
            <w:vAlign w:val="bottom"/>
          </w:tcPr>
          <w:p w14:paraId="2768715A" w14:textId="46B0166D" w:rsidR="00BB5F29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176</w:t>
            </w:r>
          </w:p>
        </w:tc>
        <w:tc>
          <w:tcPr>
            <w:tcW w:w="2245" w:type="dxa"/>
            <w:vAlign w:val="bottom"/>
          </w:tcPr>
          <w:p w14:paraId="6CD15C30" w14:textId="152BCDEF" w:rsidR="00BB5F29" w:rsidRPr="00B86ACB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+23.9%</w:t>
            </w:r>
          </w:p>
        </w:tc>
      </w:tr>
      <w:tr w:rsidR="00BB5F29" w14:paraId="7C2F02F0" w14:textId="77777777" w:rsidTr="00194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2AE52F1" w14:textId="1108F547" w:rsidR="00BB5F29" w:rsidRDefault="00BB5F29" w:rsidP="00BB5F2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Speech Difficulty</w:t>
            </w:r>
          </w:p>
        </w:tc>
        <w:tc>
          <w:tcPr>
            <w:tcW w:w="1701" w:type="dxa"/>
            <w:vAlign w:val="bottom"/>
          </w:tcPr>
          <w:p w14:paraId="64B0BB9E" w14:textId="15496716" w:rsidR="00BB5F29" w:rsidRPr="00FD11E5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113</w:t>
            </w:r>
          </w:p>
        </w:tc>
        <w:tc>
          <w:tcPr>
            <w:tcW w:w="1673" w:type="dxa"/>
            <w:vAlign w:val="bottom"/>
          </w:tcPr>
          <w:p w14:paraId="6B1A94F5" w14:textId="5A1BB266" w:rsidR="00BB5F29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172</w:t>
            </w:r>
          </w:p>
        </w:tc>
        <w:tc>
          <w:tcPr>
            <w:tcW w:w="2245" w:type="dxa"/>
            <w:vAlign w:val="bottom"/>
          </w:tcPr>
          <w:p w14:paraId="75D15ECE" w14:textId="187A7FBC" w:rsidR="00BB5F29" w:rsidRPr="00B86ACB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+52.2%</w:t>
            </w:r>
          </w:p>
        </w:tc>
      </w:tr>
      <w:tr w:rsidR="00BB5F29" w14:paraId="6797D97F" w14:textId="77777777" w:rsidTr="0019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508DEBB" w14:textId="449A3405" w:rsidR="00BB5F29" w:rsidRDefault="00BB5F29" w:rsidP="00BB5F2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Domestic Violence</w:t>
            </w:r>
          </w:p>
        </w:tc>
        <w:tc>
          <w:tcPr>
            <w:tcW w:w="1701" w:type="dxa"/>
            <w:vAlign w:val="bottom"/>
          </w:tcPr>
          <w:p w14:paraId="20558C12" w14:textId="2671773A" w:rsidR="00BB5F29" w:rsidRPr="00FD11E5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105</w:t>
            </w:r>
          </w:p>
        </w:tc>
        <w:tc>
          <w:tcPr>
            <w:tcW w:w="1673" w:type="dxa"/>
            <w:vAlign w:val="bottom"/>
          </w:tcPr>
          <w:p w14:paraId="0CEB43BE" w14:textId="7670036F" w:rsidR="00BB5F29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148</w:t>
            </w:r>
          </w:p>
        </w:tc>
        <w:tc>
          <w:tcPr>
            <w:tcW w:w="2245" w:type="dxa"/>
            <w:vAlign w:val="bottom"/>
          </w:tcPr>
          <w:p w14:paraId="38928227" w14:textId="72843DCE" w:rsidR="00BB5F29" w:rsidRPr="00B86ACB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+41.0%</w:t>
            </w:r>
          </w:p>
        </w:tc>
      </w:tr>
      <w:tr w:rsidR="00BB5F29" w14:paraId="035C4411" w14:textId="77777777" w:rsidTr="00194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B56DE7A" w14:textId="67D52D53" w:rsidR="00BB5F29" w:rsidRDefault="00BB5F29" w:rsidP="00BB5F2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Autism/ Neurodivergence</w:t>
            </w:r>
          </w:p>
        </w:tc>
        <w:tc>
          <w:tcPr>
            <w:tcW w:w="1701" w:type="dxa"/>
            <w:vAlign w:val="bottom"/>
          </w:tcPr>
          <w:p w14:paraId="7EA1F0C4" w14:textId="5F6DC477" w:rsidR="00BB5F29" w:rsidRPr="00FD11E5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1673" w:type="dxa"/>
            <w:vAlign w:val="bottom"/>
          </w:tcPr>
          <w:p w14:paraId="259E988C" w14:textId="39853516" w:rsidR="00BB5F29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119</w:t>
            </w:r>
          </w:p>
        </w:tc>
        <w:tc>
          <w:tcPr>
            <w:tcW w:w="2245" w:type="dxa"/>
            <w:vAlign w:val="bottom"/>
          </w:tcPr>
          <w:p w14:paraId="504F0AC0" w14:textId="3F6E6383" w:rsidR="00BB5F29" w:rsidRPr="00B86ACB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+230.6%</w:t>
            </w:r>
            <w:r w:rsidR="007423BD" w:rsidRPr="00B86ACB">
              <w:rPr>
                <w:rFonts w:ascii="Calibri" w:hAnsi="Calibri" w:cs="Calibri"/>
                <w:color w:val="006100"/>
              </w:rPr>
              <w:t>*</w:t>
            </w:r>
          </w:p>
        </w:tc>
      </w:tr>
      <w:tr w:rsidR="00BB5F29" w14:paraId="0B9C6883" w14:textId="77777777" w:rsidTr="0019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27C9B9D" w14:textId="73A16CEB" w:rsidR="00BB5F29" w:rsidRDefault="00BB5F29" w:rsidP="00BB5F2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Dyslexia</w:t>
            </w:r>
          </w:p>
        </w:tc>
        <w:tc>
          <w:tcPr>
            <w:tcW w:w="1701" w:type="dxa"/>
            <w:vAlign w:val="bottom"/>
          </w:tcPr>
          <w:p w14:paraId="516AA323" w14:textId="37510CDB" w:rsidR="00BB5F29" w:rsidRPr="00FD11E5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82</w:t>
            </w:r>
          </w:p>
        </w:tc>
        <w:tc>
          <w:tcPr>
            <w:tcW w:w="1673" w:type="dxa"/>
            <w:vAlign w:val="bottom"/>
          </w:tcPr>
          <w:p w14:paraId="03014C09" w14:textId="2CA9D2FA" w:rsidR="00BB5F29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95</w:t>
            </w:r>
          </w:p>
        </w:tc>
        <w:tc>
          <w:tcPr>
            <w:tcW w:w="2245" w:type="dxa"/>
            <w:vAlign w:val="bottom"/>
          </w:tcPr>
          <w:p w14:paraId="63CEB256" w14:textId="265CCCB1" w:rsidR="00BB5F29" w:rsidRPr="00B86ACB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+15.9%</w:t>
            </w:r>
          </w:p>
        </w:tc>
      </w:tr>
      <w:tr w:rsidR="00BB5F29" w14:paraId="17319871" w14:textId="77777777" w:rsidTr="00194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AAC7106" w14:textId="60776EC7" w:rsidR="00BB5F29" w:rsidRDefault="00BB5F29" w:rsidP="00BB5F2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Acquired brain injury</w:t>
            </w:r>
          </w:p>
        </w:tc>
        <w:tc>
          <w:tcPr>
            <w:tcW w:w="1701" w:type="dxa"/>
            <w:vAlign w:val="bottom"/>
          </w:tcPr>
          <w:p w14:paraId="3478AAED" w14:textId="243C2A21" w:rsidR="00BB5F29" w:rsidRPr="00FD11E5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49</w:t>
            </w:r>
          </w:p>
        </w:tc>
        <w:tc>
          <w:tcPr>
            <w:tcW w:w="1673" w:type="dxa"/>
            <w:vAlign w:val="bottom"/>
          </w:tcPr>
          <w:p w14:paraId="14422556" w14:textId="4B9CDDF2" w:rsidR="00BB5F29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90</w:t>
            </w:r>
          </w:p>
        </w:tc>
        <w:tc>
          <w:tcPr>
            <w:tcW w:w="2245" w:type="dxa"/>
            <w:vAlign w:val="bottom"/>
          </w:tcPr>
          <w:p w14:paraId="489F028C" w14:textId="253AECB6" w:rsidR="00BB5F29" w:rsidRPr="00B86ACB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+83.7%</w:t>
            </w:r>
          </w:p>
        </w:tc>
      </w:tr>
      <w:tr w:rsidR="00BB5F29" w14:paraId="0AB26813" w14:textId="77777777" w:rsidTr="0019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210C4D3" w14:textId="71EA6DFF" w:rsidR="00BB5F29" w:rsidRDefault="00BB5F29" w:rsidP="00BB5F2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Addiction</w:t>
            </w:r>
          </w:p>
        </w:tc>
        <w:tc>
          <w:tcPr>
            <w:tcW w:w="1701" w:type="dxa"/>
            <w:vAlign w:val="bottom"/>
          </w:tcPr>
          <w:p w14:paraId="385BB795" w14:textId="47F33BF9" w:rsidR="00BB5F29" w:rsidRPr="00FD11E5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68</w:t>
            </w:r>
          </w:p>
        </w:tc>
        <w:tc>
          <w:tcPr>
            <w:tcW w:w="1673" w:type="dxa"/>
            <w:vAlign w:val="bottom"/>
          </w:tcPr>
          <w:p w14:paraId="319E9C4E" w14:textId="0476CA4B" w:rsidR="00BB5F29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84</w:t>
            </w:r>
          </w:p>
        </w:tc>
        <w:tc>
          <w:tcPr>
            <w:tcW w:w="2245" w:type="dxa"/>
            <w:vAlign w:val="bottom"/>
          </w:tcPr>
          <w:p w14:paraId="2CDF39A0" w14:textId="389CA8B1" w:rsidR="00BB5F29" w:rsidRPr="00B86ACB" w:rsidRDefault="00BB5F29" w:rsidP="00BB5F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+23.5%</w:t>
            </w:r>
          </w:p>
        </w:tc>
      </w:tr>
      <w:tr w:rsidR="00BB5F29" w14:paraId="6C67431E" w14:textId="77777777" w:rsidTr="00194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224ABB2" w14:textId="7E7DB090" w:rsidR="00BB5F29" w:rsidRDefault="00BB5F29" w:rsidP="00BB5F2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Dementia/ </w:t>
            </w:r>
            <w:r w:rsidR="00194B48">
              <w:rPr>
                <w:rFonts w:ascii="Calibri" w:eastAsia="Times New Roman" w:hAnsi="Calibri" w:cs="Calibri"/>
                <w:color w:val="000000"/>
                <w:lang w:eastAsia="en-IE"/>
              </w:rPr>
              <w:t>Alzheimer’s</w:t>
            </w:r>
          </w:p>
        </w:tc>
        <w:tc>
          <w:tcPr>
            <w:tcW w:w="1701" w:type="dxa"/>
            <w:vAlign w:val="bottom"/>
          </w:tcPr>
          <w:p w14:paraId="43DB953E" w14:textId="05325D7B" w:rsidR="00BB5F29" w:rsidRPr="00FD11E5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56</w:t>
            </w:r>
          </w:p>
        </w:tc>
        <w:tc>
          <w:tcPr>
            <w:tcW w:w="1673" w:type="dxa"/>
            <w:vAlign w:val="bottom"/>
          </w:tcPr>
          <w:p w14:paraId="59F95399" w14:textId="7B442BC0" w:rsidR="00BB5F29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68</w:t>
            </w:r>
          </w:p>
        </w:tc>
        <w:tc>
          <w:tcPr>
            <w:tcW w:w="2245" w:type="dxa"/>
            <w:vAlign w:val="bottom"/>
          </w:tcPr>
          <w:p w14:paraId="4D08F9E2" w14:textId="41F03289" w:rsidR="00BB5F29" w:rsidRPr="00B86ACB" w:rsidRDefault="00BB5F29" w:rsidP="00BB5F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+21.4%</w:t>
            </w:r>
          </w:p>
        </w:tc>
      </w:tr>
      <w:tr w:rsidR="00CF48A6" w14:paraId="03ACE7BA" w14:textId="77777777" w:rsidTr="0019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6B3AB2C" w14:textId="5EB7C063" w:rsidR="00CF48A6" w:rsidRDefault="00CF48A6" w:rsidP="000C322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Bereaved</w:t>
            </w:r>
          </w:p>
        </w:tc>
        <w:tc>
          <w:tcPr>
            <w:tcW w:w="1701" w:type="dxa"/>
            <w:vAlign w:val="bottom"/>
          </w:tcPr>
          <w:p w14:paraId="25BA7926" w14:textId="7838F8B8" w:rsidR="00CF48A6" w:rsidRPr="00FD11E5" w:rsidRDefault="00F32561" w:rsidP="000C3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1673" w:type="dxa"/>
            <w:vAlign w:val="bottom"/>
          </w:tcPr>
          <w:p w14:paraId="7DC66930" w14:textId="58CF5146" w:rsidR="00CF48A6" w:rsidRDefault="00CF48A6" w:rsidP="000C3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245" w:type="dxa"/>
          </w:tcPr>
          <w:p w14:paraId="3FBE5418" w14:textId="36358286" w:rsidR="00CF48A6" w:rsidRPr="00B86ACB" w:rsidRDefault="00BB5F29" w:rsidP="000C3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B86ACB">
              <w:rPr>
                <w:rFonts w:ascii="Calibri" w:hAnsi="Calibri" w:cs="Calibri"/>
                <w:color w:val="006100"/>
              </w:rPr>
              <w:t>N/A</w:t>
            </w:r>
          </w:p>
        </w:tc>
      </w:tr>
    </w:tbl>
    <w:p w14:paraId="290D9F3C" w14:textId="7C42F495" w:rsidR="00A60A91" w:rsidRPr="007423BD" w:rsidRDefault="007423BD" w:rsidP="007423BD">
      <w:pPr>
        <w:pStyle w:val="ListParagraph"/>
        <w:numPr>
          <w:ilvl w:val="0"/>
          <w:numId w:val="13"/>
        </w:numPr>
        <w:jc w:val="both"/>
        <w:rPr>
          <w:rFonts w:ascii="Calibri" w:eastAsiaTheme="majorEastAsia" w:hAnsi="Calibri" w:cs="Calibri"/>
        </w:rPr>
      </w:pPr>
      <w:r>
        <w:t>Note that some of those categories with significant increases were added or amended recently.</w:t>
      </w:r>
    </w:p>
    <w:p w14:paraId="3AE4A434" w14:textId="099364DE" w:rsidR="000469CD" w:rsidRDefault="0049266B" w:rsidP="00FC46FE">
      <w:pPr>
        <w:pStyle w:val="Heading1"/>
        <w:rPr>
          <w:rFonts w:eastAsia="Times New Roman"/>
          <w:b/>
          <w:sz w:val="24"/>
          <w:szCs w:val="24"/>
          <w:lang w:eastAsia="en-IE"/>
        </w:rPr>
      </w:pPr>
      <w:r>
        <w:rPr>
          <w:rFonts w:eastAsia="Times New Roman"/>
          <w:b/>
          <w:sz w:val="24"/>
          <w:szCs w:val="24"/>
          <w:lang w:eastAsia="en-IE"/>
        </w:rPr>
        <w:t>Chart 1: Time Spent with caller breakdown.</w:t>
      </w:r>
    </w:p>
    <w:p w14:paraId="4EFB5869" w14:textId="77777777" w:rsidR="00E9714B" w:rsidRDefault="0049266B" w:rsidP="00653E3E">
      <w:pPr>
        <w:rPr>
          <w:rFonts w:ascii="Calibri" w:hAnsi="Calibri" w:cs="Calibri"/>
        </w:rPr>
      </w:pPr>
      <w:r>
        <w:rPr>
          <w:noProof/>
          <w:lang w:eastAsia="en-IE"/>
        </w:rPr>
        <w:drawing>
          <wp:inline distT="0" distB="0" distL="0" distR="0" wp14:anchorId="12A92656" wp14:editId="083F43FF">
            <wp:extent cx="4572000" cy="2324100"/>
            <wp:effectExtent l="0" t="0" r="0" b="0"/>
            <wp:docPr id="4463080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7694C89-08D6-0854-BDB4-F1B21F904E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43E4D67" w14:textId="29AA7E64" w:rsidR="00BB5F29" w:rsidRDefault="00BB5F29" w:rsidP="00653E3E">
      <w:pPr>
        <w:rPr>
          <w:rFonts w:ascii="Calibri" w:hAnsi="Calibri" w:cs="Calibri"/>
        </w:rPr>
      </w:pPr>
      <w:r>
        <w:rPr>
          <w:rFonts w:ascii="Calibri" w:hAnsi="Calibri" w:cs="Calibri"/>
        </w:rPr>
        <w:t>44.6% of people who contacted CISs spent 10 minutes</w:t>
      </w:r>
      <w:r w:rsidR="00972FE7">
        <w:rPr>
          <w:rFonts w:ascii="Calibri" w:hAnsi="Calibri" w:cs="Calibri"/>
        </w:rPr>
        <w:t xml:space="preserve"> and under</w:t>
      </w:r>
      <w:r>
        <w:rPr>
          <w:rFonts w:ascii="Calibri" w:hAnsi="Calibri" w:cs="Calibri"/>
        </w:rPr>
        <w:t xml:space="preserve"> </w:t>
      </w:r>
      <w:r w:rsidR="00972FE7">
        <w:rPr>
          <w:rFonts w:ascii="Calibri" w:hAnsi="Calibri" w:cs="Calibri"/>
        </w:rPr>
        <w:t>with</w:t>
      </w:r>
      <w:r>
        <w:rPr>
          <w:rFonts w:ascii="Calibri" w:hAnsi="Calibri" w:cs="Calibri"/>
        </w:rPr>
        <w:t xml:space="preserve"> Information </w:t>
      </w:r>
      <w:r w:rsidR="00FD7FE5">
        <w:rPr>
          <w:rFonts w:ascii="Calibri" w:hAnsi="Calibri" w:cs="Calibri"/>
        </w:rPr>
        <w:t>O</w:t>
      </w:r>
      <w:r>
        <w:rPr>
          <w:rFonts w:ascii="Calibri" w:hAnsi="Calibri" w:cs="Calibri"/>
        </w:rPr>
        <w:t>fficers</w:t>
      </w:r>
      <w:r w:rsidR="00AE3F23">
        <w:rPr>
          <w:rFonts w:ascii="Calibri" w:hAnsi="Calibri" w:cs="Calibri"/>
        </w:rPr>
        <w:t xml:space="preserve"> (IOs)</w:t>
      </w:r>
      <w:r>
        <w:rPr>
          <w:rFonts w:ascii="Calibri" w:hAnsi="Calibri" w:cs="Calibri"/>
        </w:rPr>
        <w:t>.</w:t>
      </w:r>
      <w:r w:rsidR="001F3353">
        <w:rPr>
          <w:rFonts w:ascii="Calibri" w:hAnsi="Calibri" w:cs="Calibri"/>
        </w:rPr>
        <w:t xml:space="preserve"> 36.8% of callers spent 11-20 minutes speaking with </w:t>
      </w:r>
      <w:r w:rsidR="00AE3F23">
        <w:rPr>
          <w:rFonts w:ascii="Calibri" w:hAnsi="Calibri" w:cs="Calibri"/>
        </w:rPr>
        <w:t>I</w:t>
      </w:r>
      <w:r w:rsidR="00FD7FE5">
        <w:rPr>
          <w:rFonts w:ascii="Calibri" w:hAnsi="Calibri" w:cs="Calibri"/>
        </w:rPr>
        <w:t>O</w:t>
      </w:r>
      <w:r w:rsidR="00AE3F23">
        <w:rPr>
          <w:rFonts w:ascii="Calibri" w:hAnsi="Calibri" w:cs="Calibri"/>
        </w:rPr>
        <w:t xml:space="preserve">s </w:t>
      </w:r>
      <w:r w:rsidR="001F3353">
        <w:rPr>
          <w:rFonts w:ascii="Calibri" w:hAnsi="Calibri" w:cs="Calibri"/>
        </w:rPr>
        <w:t>and 15.2 % spent 21-40 minutes. 3.</w:t>
      </w:r>
      <w:r w:rsidR="00AE3F23">
        <w:rPr>
          <w:rFonts w:ascii="Calibri" w:hAnsi="Calibri" w:cs="Calibri"/>
        </w:rPr>
        <w:t>2</w:t>
      </w:r>
      <w:r w:rsidR="001F3353">
        <w:rPr>
          <w:rFonts w:ascii="Calibri" w:hAnsi="Calibri" w:cs="Calibri"/>
        </w:rPr>
        <w:t>% of people spent over 41 minutes.</w:t>
      </w:r>
    </w:p>
    <w:p w14:paraId="5F5B6BD8" w14:textId="72062729" w:rsidR="001F3353" w:rsidRPr="00194B48" w:rsidRDefault="00194B48" w:rsidP="00194B48">
      <w:pPr>
        <w:pStyle w:val="Heading1"/>
        <w:jc w:val="both"/>
        <w:rPr>
          <w:rFonts w:eastAsia="Times New Roman"/>
          <w:b/>
          <w:sz w:val="24"/>
          <w:szCs w:val="24"/>
          <w:lang w:eastAsia="en-IE"/>
        </w:rPr>
      </w:pPr>
      <w:r w:rsidRPr="00194B48">
        <w:rPr>
          <w:rFonts w:eastAsia="Times New Roman"/>
          <w:b/>
          <w:sz w:val="24"/>
          <w:szCs w:val="24"/>
          <w:lang w:eastAsia="en-IE"/>
        </w:rPr>
        <w:t>Table 6: Top payments and schemes for each age category</w:t>
      </w:r>
    </w:p>
    <w:tbl>
      <w:tblPr>
        <w:tblStyle w:val="GridTable5Dark-Accent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592"/>
        <w:gridCol w:w="1841"/>
        <w:gridCol w:w="1841"/>
        <w:gridCol w:w="1633"/>
      </w:tblGrid>
      <w:tr w:rsidR="00A81735" w14:paraId="43E91D64" w14:textId="77777777" w:rsidTr="00A81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bottom"/>
          </w:tcPr>
          <w:p w14:paraId="514537E7" w14:textId="1A571EE2" w:rsidR="00A81735" w:rsidRPr="006E10B5" w:rsidRDefault="00A81735" w:rsidP="00A81735">
            <w:pPr>
              <w:spacing w:line="240" w:lineRule="auto"/>
              <w:ind w:left="-510" w:firstLine="51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592" w:type="dxa"/>
            <w:vAlign w:val="bottom"/>
          </w:tcPr>
          <w:p w14:paraId="677E6B1D" w14:textId="4A7008C7" w:rsidR="00A81735" w:rsidRPr="006E10B5" w:rsidRDefault="00A81735" w:rsidP="00A8173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Under 25</w:t>
            </w:r>
          </w:p>
        </w:tc>
        <w:tc>
          <w:tcPr>
            <w:tcW w:w="1841" w:type="dxa"/>
            <w:vAlign w:val="bottom"/>
          </w:tcPr>
          <w:p w14:paraId="77E01B56" w14:textId="6D777F5A" w:rsidR="00A81735" w:rsidRPr="006E10B5" w:rsidRDefault="00A81735" w:rsidP="00A8173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26-45</w:t>
            </w:r>
          </w:p>
        </w:tc>
        <w:tc>
          <w:tcPr>
            <w:tcW w:w="1841" w:type="dxa"/>
            <w:vAlign w:val="bottom"/>
          </w:tcPr>
          <w:p w14:paraId="6B85B058" w14:textId="4B3FB52B" w:rsidR="00A81735" w:rsidRPr="006E10B5" w:rsidRDefault="00A81735" w:rsidP="00A8173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46-65</w:t>
            </w:r>
          </w:p>
        </w:tc>
        <w:tc>
          <w:tcPr>
            <w:tcW w:w="1633" w:type="dxa"/>
            <w:vAlign w:val="bottom"/>
          </w:tcPr>
          <w:p w14:paraId="02CB14C9" w14:textId="779274E8" w:rsidR="00A81735" w:rsidRPr="006E10B5" w:rsidRDefault="00A81735" w:rsidP="00A8173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66 and Over</w:t>
            </w:r>
          </w:p>
        </w:tc>
      </w:tr>
      <w:tr w:rsidR="00A81735" w14:paraId="42357EF5" w14:textId="77777777" w:rsidTr="00A8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bottom"/>
          </w:tcPr>
          <w:p w14:paraId="61194BE9" w14:textId="1E3025DF" w:rsidR="00A81735" w:rsidRPr="00B64719" w:rsidRDefault="00A81735" w:rsidP="00A817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92" w:type="dxa"/>
            <w:vAlign w:val="bottom"/>
          </w:tcPr>
          <w:p w14:paraId="22821E89" w14:textId="2EB191BA" w:rsidR="00A81735" w:rsidRPr="00A81735" w:rsidRDefault="00A81735" w:rsidP="00A8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Jobseekers Allowance </w:t>
            </w:r>
          </w:p>
        </w:tc>
        <w:tc>
          <w:tcPr>
            <w:tcW w:w="1841" w:type="dxa"/>
            <w:vAlign w:val="bottom"/>
          </w:tcPr>
          <w:p w14:paraId="74DA2F07" w14:textId="7534778C" w:rsidR="00A81735" w:rsidRPr="00A81735" w:rsidRDefault="00A81735" w:rsidP="00A8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Medical Card </w:t>
            </w:r>
          </w:p>
        </w:tc>
        <w:tc>
          <w:tcPr>
            <w:tcW w:w="1841" w:type="dxa"/>
            <w:vAlign w:val="bottom"/>
          </w:tcPr>
          <w:p w14:paraId="714B27C3" w14:textId="09857A4B" w:rsidR="00A81735" w:rsidRPr="00A81735" w:rsidRDefault="00A81735" w:rsidP="00A8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State Pension/ Contributory </w:t>
            </w:r>
          </w:p>
        </w:tc>
        <w:tc>
          <w:tcPr>
            <w:tcW w:w="1633" w:type="dxa"/>
            <w:vAlign w:val="bottom"/>
          </w:tcPr>
          <w:p w14:paraId="6B41465E" w14:textId="09821A18" w:rsidR="00A81735" w:rsidRPr="00A81735" w:rsidRDefault="00A81735" w:rsidP="00A8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Medical Card </w:t>
            </w:r>
          </w:p>
        </w:tc>
      </w:tr>
      <w:tr w:rsidR="00A81735" w14:paraId="43E84CD2" w14:textId="77777777" w:rsidTr="00A81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bottom"/>
          </w:tcPr>
          <w:p w14:paraId="19544BC2" w14:textId="435BAFF6" w:rsidR="00A81735" w:rsidRPr="00B64719" w:rsidRDefault="00A81735" w:rsidP="00A817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92" w:type="dxa"/>
            <w:vAlign w:val="bottom"/>
          </w:tcPr>
          <w:p w14:paraId="51EB0148" w14:textId="7FB1B99D" w:rsidR="00A81735" w:rsidRPr="00A81735" w:rsidRDefault="00A81735" w:rsidP="00A8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Medical Card </w:t>
            </w:r>
          </w:p>
        </w:tc>
        <w:tc>
          <w:tcPr>
            <w:tcW w:w="1841" w:type="dxa"/>
            <w:vAlign w:val="bottom"/>
          </w:tcPr>
          <w:p w14:paraId="3F9CFCA6" w14:textId="6386F644" w:rsidR="00A81735" w:rsidRPr="00A81735" w:rsidRDefault="00A81735" w:rsidP="00A8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Applying for Local Authority/Social Housing </w:t>
            </w:r>
          </w:p>
        </w:tc>
        <w:tc>
          <w:tcPr>
            <w:tcW w:w="1841" w:type="dxa"/>
            <w:vAlign w:val="bottom"/>
          </w:tcPr>
          <w:p w14:paraId="04954FD0" w14:textId="33742CEF" w:rsidR="00A81735" w:rsidRPr="00A81735" w:rsidRDefault="00A81735" w:rsidP="00A8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Disability Allowance </w:t>
            </w:r>
          </w:p>
        </w:tc>
        <w:tc>
          <w:tcPr>
            <w:tcW w:w="1633" w:type="dxa"/>
            <w:vAlign w:val="bottom"/>
          </w:tcPr>
          <w:p w14:paraId="6F239A6D" w14:textId="3033626D" w:rsidR="00A81735" w:rsidRPr="00A81735" w:rsidRDefault="00A81735" w:rsidP="00A8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State Pension/ Contributory </w:t>
            </w:r>
          </w:p>
        </w:tc>
      </w:tr>
      <w:tr w:rsidR="00A81735" w14:paraId="78946B6C" w14:textId="77777777" w:rsidTr="00A8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bottom"/>
          </w:tcPr>
          <w:p w14:paraId="41D7ECA1" w14:textId="2F9FFCA5" w:rsidR="00A81735" w:rsidRPr="00B64719" w:rsidRDefault="00A81735" w:rsidP="00A817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592" w:type="dxa"/>
            <w:vAlign w:val="bottom"/>
          </w:tcPr>
          <w:p w14:paraId="139DBC40" w14:textId="0FC23F0D" w:rsidR="00A81735" w:rsidRPr="00A81735" w:rsidRDefault="00A81735" w:rsidP="00A8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Applying for Local Authority/Social Housing </w:t>
            </w:r>
          </w:p>
        </w:tc>
        <w:tc>
          <w:tcPr>
            <w:tcW w:w="1841" w:type="dxa"/>
            <w:vAlign w:val="bottom"/>
          </w:tcPr>
          <w:p w14:paraId="254B9BF9" w14:textId="635F2EBA" w:rsidR="00A81735" w:rsidRPr="00A81735" w:rsidRDefault="00A81735" w:rsidP="00A8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Disability Allowance </w:t>
            </w:r>
          </w:p>
        </w:tc>
        <w:tc>
          <w:tcPr>
            <w:tcW w:w="1841" w:type="dxa"/>
            <w:vAlign w:val="bottom"/>
          </w:tcPr>
          <w:p w14:paraId="60AB6630" w14:textId="224272FB" w:rsidR="00A81735" w:rsidRPr="00A81735" w:rsidRDefault="00A81735" w:rsidP="00A8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Medical Card </w:t>
            </w:r>
          </w:p>
        </w:tc>
        <w:tc>
          <w:tcPr>
            <w:tcW w:w="1633" w:type="dxa"/>
            <w:vAlign w:val="bottom"/>
          </w:tcPr>
          <w:p w14:paraId="2A7C2B43" w14:textId="7979F658" w:rsidR="00A81735" w:rsidRPr="00A81735" w:rsidRDefault="00A81735" w:rsidP="00A8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Fuel Allowance </w:t>
            </w:r>
          </w:p>
        </w:tc>
      </w:tr>
      <w:tr w:rsidR="00A81735" w14:paraId="0D0A6E5A" w14:textId="77777777" w:rsidTr="00A81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bottom"/>
          </w:tcPr>
          <w:p w14:paraId="70EA1660" w14:textId="4B002C5A" w:rsidR="00A81735" w:rsidRPr="00B64719" w:rsidRDefault="00A81735" w:rsidP="00A817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92" w:type="dxa"/>
            <w:vAlign w:val="bottom"/>
          </w:tcPr>
          <w:p w14:paraId="5F6962B9" w14:textId="32C4D293" w:rsidR="00A81735" w:rsidRPr="00A81735" w:rsidRDefault="00A81735" w:rsidP="00A8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Disability Allowance </w:t>
            </w:r>
          </w:p>
        </w:tc>
        <w:tc>
          <w:tcPr>
            <w:tcW w:w="1841" w:type="dxa"/>
            <w:vAlign w:val="bottom"/>
          </w:tcPr>
          <w:p w14:paraId="68FD4B2A" w14:textId="7B2E388D" w:rsidR="00A81735" w:rsidRPr="00A81735" w:rsidRDefault="00A81735" w:rsidP="00A8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Working Family Payment </w:t>
            </w:r>
          </w:p>
        </w:tc>
        <w:tc>
          <w:tcPr>
            <w:tcW w:w="1841" w:type="dxa"/>
            <w:vAlign w:val="bottom"/>
          </w:tcPr>
          <w:p w14:paraId="5839830B" w14:textId="227065EF" w:rsidR="00A81735" w:rsidRPr="00A81735" w:rsidRDefault="00A81735" w:rsidP="00A8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Carer's Allowance </w:t>
            </w:r>
          </w:p>
        </w:tc>
        <w:tc>
          <w:tcPr>
            <w:tcW w:w="1633" w:type="dxa"/>
            <w:vAlign w:val="bottom"/>
          </w:tcPr>
          <w:p w14:paraId="31650F58" w14:textId="13EC056D" w:rsidR="00A81735" w:rsidRPr="00A81735" w:rsidRDefault="00A81735" w:rsidP="00A8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Household Benefits Package </w:t>
            </w:r>
          </w:p>
        </w:tc>
      </w:tr>
      <w:tr w:rsidR="00A81735" w14:paraId="78278AA6" w14:textId="77777777" w:rsidTr="00A8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bottom"/>
          </w:tcPr>
          <w:p w14:paraId="64381BD4" w14:textId="63A234AF" w:rsidR="00A81735" w:rsidRPr="00B64719" w:rsidRDefault="00A81735" w:rsidP="00A817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592" w:type="dxa"/>
            <w:vAlign w:val="bottom"/>
          </w:tcPr>
          <w:p w14:paraId="57908981" w14:textId="0E607258" w:rsidR="00A81735" w:rsidRPr="00A81735" w:rsidRDefault="00A81735" w:rsidP="00A8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>SUSI Student Grant Scheme (SUSI)</w:t>
            </w:r>
          </w:p>
        </w:tc>
        <w:tc>
          <w:tcPr>
            <w:tcW w:w="1841" w:type="dxa"/>
            <w:vAlign w:val="bottom"/>
          </w:tcPr>
          <w:p w14:paraId="5EF7EC82" w14:textId="574BBDE3" w:rsidR="00A81735" w:rsidRPr="00A81735" w:rsidRDefault="00A81735" w:rsidP="00A8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Carer's Allowance </w:t>
            </w:r>
          </w:p>
        </w:tc>
        <w:tc>
          <w:tcPr>
            <w:tcW w:w="1841" w:type="dxa"/>
            <w:vAlign w:val="bottom"/>
          </w:tcPr>
          <w:p w14:paraId="68391E7A" w14:textId="69022246" w:rsidR="00A81735" w:rsidRPr="00A81735" w:rsidRDefault="00A81735" w:rsidP="00A8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>Invalidity Pension</w:t>
            </w:r>
          </w:p>
        </w:tc>
        <w:tc>
          <w:tcPr>
            <w:tcW w:w="1633" w:type="dxa"/>
            <w:vAlign w:val="bottom"/>
          </w:tcPr>
          <w:p w14:paraId="725313B2" w14:textId="14223174" w:rsidR="00A81735" w:rsidRPr="00A81735" w:rsidRDefault="00A81735" w:rsidP="00A8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817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State Pension/ Non-Contributory </w:t>
            </w:r>
          </w:p>
        </w:tc>
      </w:tr>
    </w:tbl>
    <w:p w14:paraId="3C60F56A" w14:textId="61FA8956" w:rsidR="001F3353" w:rsidRPr="00653E3E" w:rsidRDefault="001F3353" w:rsidP="00653E3E">
      <w:pPr>
        <w:rPr>
          <w:rFonts w:ascii="Calibri" w:hAnsi="Calibri" w:cs="Calibri"/>
        </w:rPr>
        <w:sectPr w:rsidR="001F3353" w:rsidRPr="00653E3E" w:rsidSect="00681F1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B3B673" w14:textId="77777777" w:rsidR="00B60276" w:rsidRPr="000C2E61" w:rsidRDefault="00B60276" w:rsidP="00B60276">
      <w:pPr>
        <w:pStyle w:val="Heading1"/>
        <w:rPr>
          <w:b/>
          <w:sz w:val="28"/>
          <w:szCs w:val="28"/>
        </w:rPr>
      </w:pPr>
      <w:r w:rsidRPr="005D5240">
        <w:rPr>
          <w:b/>
          <w:sz w:val="28"/>
          <w:szCs w:val="28"/>
        </w:rPr>
        <w:lastRenderedPageBreak/>
        <w:t>Query Summary</w:t>
      </w:r>
      <w:r w:rsidRPr="000C2E61">
        <w:rPr>
          <w:b/>
          <w:sz w:val="28"/>
          <w:szCs w:val="28"/>
        </w:rPr>
        <w:t xml:space="preserve"> </w:t>
      </w:r>
    </w:p>
    <w:p w14:paraId="0590B721" w14:textId="02260E9D" w:rsidR="000A6757" w:rsidRPr="00B12326" w:rsidRDefault="00BB4668" w:rsidP="001F3353">
      <w:pPr>
        <w:jc w:val="both"/>
        <w:rPr>
          <w:rFonts w:ascii="Calibri" w:hAnsi="Calibri" w:cs="Calibri"/>
        </w:rPr>
        <w:sectPr w:rsidR="000A6757" w:rsidRPr="00B12326" w:rsidSect="00681F13">
          <w:pgSz w:w="16838" w:h="11906" w:orient="landscape"/>
          <w:pgMar w:top="720" w:right="720" w:bottom="720" w:left="720" w:header="708" w:footer="170" w:gutter="0"/>
          <w:cols w:space="708"/>
          <w:docGrid w:linePitch="360"/>
        </w:sectPr>
      </w:pPr>
      <w:r w:rsidRPr="00BB4668">
        <w:rPr>
          <w:rFonts w:ascii="Calibri" w:hAnsi="Calibri" w:cs="Calibri"/>
        </w:rPr>
        <w:t>In Quarter</w:t>
      </w:r>
      <w:r w:rsidR="001F3353">
        <w:rPr>
          <w:rFonts w:ascii="Calibri" w:hAnsi="Calibri" w:cs="Calibri"/>
        </w:rPr>
        <w:t xml:space="preserve"> </w:t>
      </w:r>
      <w:r w:rsidRPr="00BB4668">
        <w:rPr>
          <w:rFonts w:ascii="Calibri" w:hAnsi="Calibri" w:cs="Calibri"/>
        </w:rPr>
        <w:t>1</w:t>
      </w:r>
      <w:r w:rsidR="001F335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(Q1)</w:t>
      </w:r>
      <w:r w:rsidRPr="00BB4668">
        <w:rPr>
          <w:rFonts w:ascii="Calibri" w:hAnsi="Calibri" w:cs="Calibri"/>
        </w:rPr>
        <w:t xml:space="preserve"> 2024 there were </w:t>
      </w:r>
      <w:r w:rsidRPr="00ED0D5E">
        <w:rPr>
          <w:rFonts w:ascii="Calibri" w:hAnsi="Calibri" w:cs="Calibri"/>
          <w:b/>
        </w:rPr>
        <w:t>206,4</w:t>
      </w:r>
      <w:r w:rsidR="00146ED0" w:rsidRPr="00ED0D5E">
        <w:rPr>
          <w:rFonts w:ascii="Calibri" w:hAnsi="Calibri" w:cs="Calibri"/>
          <w:b/>
        </w:rPr>
        <w:t>95</w:t>
      </w:r>
      <w:r w:rsidR="00146ED0">
        <w:rPr>
          <w:rFonts w:ascii="Calibri" w:hAnsi="Calibri" w:cs="Calibri"/>
        </w:rPr>
        <w:t xml:space="preserve"> queries</w:t>
      </w:r>
      <w:r w:rsidR="0079221E">
        <w:rPr>
          <w:rFonts w:ascii="Calibri" w:hAnsi="Calibri" w:cs="Calibri"/>
        </w:rPr>
        <w:t xml:space="preserve"> to Citizen Information Services (CISs)</w:t>
      </w:r>
      <w:r w:rsidR="00C0783D" w:rsidRPr="00BB466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decrease of </w:t>
      </w:r>
      <w:r w:rsidRPr="00BB4668">
        <w:rPr>
          <w:rFonts w:ascii="Calibri" w:hAnsi="Calibri" w:cs="Calibri"/>
        </w:rPr>
        <w:t>6.1</w:t>
      </w:r>
      <w:r>
        <w:rPr>
          <w:rFonts w:ascii="Calibri" w:hAnsi="Calibri" w:cs="Calibri"/>
        </w:rPr>
        <w:t xml:space="preserve">% on the same quarter in Q1 2023. The ratio of </w:t>
      </w:r>
      <w:r w:rsidR="00C34B69">
        <w:rPr>
          <w:rFonts w:ascii="Calibri" w:hAnsi="Calibri" w:cs="Calibri"/>
        </w:rPr>
        <w:t xml:space="preserve">query to </w:t>
      </w:r>
      <w:r>
        <w:rPr>
          <w:rFonts w:ascii="Calibri" w:hAnsi="Calibri" w:cs="Calibri"/>
        </w:rPr>
        <w:t xml:space="preserve">caller was down </w:t>
      </w:r>
      <w:r w:rsidR="00146ED0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>1.95 from 2.05.</w:t>
      </w:r>
      <w:r w:rsidRPr="00092A66">
        <w:rPr>
          <w:rFonts w:ascii="Calibri" w:hAnsi="Calibri" w:cs="Calibri"/>
        </w:rPr>
        <w:t xml:space="preserve"> Social</w:t>
      </w:r>
      <w:r w:rsidRPr="00BB4668">
        <w:rPr>
          <w:rFonts w:ascii="Calibri" w:hAnsi="Calibri" w:cs="Calibri"/>
        </w:rPr>
        <w:t xml:space="preserve"> Welfare </w:t>
      </w:r>
      <w:r>
        <w:rPr>
          <w:rFonts w:ascii="Calibri" w:hAnsi="Calibri" w:cs="Calibri"/>
        </w:rPr>
        <w:t xml:space="preserve">represented 44% of all queries to </w:t>
      </w:r>
      <w:r w:rsidR="00F378A9">
        <w:rPr>
          <w:rFonts w:ascii="Calibri" w:hAnsi="Calibri" w:cs="Calibri"/>
        </w:rPr>
        <w:t>CISs</w:t>
      </w:r>
      <w:r w:rsidR="00F378A9" w:rsidRPr="00BB4668">
        <w:rPr>
          <w:rFonts w:ascii="Calibri" w:hAnsi="Calibri" w:cs="Calibri"/>
        </w:rPr>
        <w:t>,</w:t>
      </w:r>
      <w:r w:rsidR="003E2EB3">
        <w:rPr>
          <w:rFonts w:ascii="Calibri" w:hAnsi="Calibri" w:cs="Calibri"/>
        </w:rPr>
        <w:t xml:space="preserve"> the next most queried category was Housing which made up 11.3% of queries, then Health </w:t>
      </w:r>
      <w:r w:rsidR="00F378A9">
        <w:rPr>
          <w:rFonts w:ascii="Calibri" w:hAnsi="Calibri" w:cs="Calibri"/>
        </w:rPr>
        <w:t>which consisted</w:t>
      </w:r>
      <w:r w:rsidR="003E2EB3">
        <w:rPr>
          <w:rFonts w:ascii="Calibri" w:hAnsi="Calibri" w:cs="Calibri"/>
        </w:rPr>
        <w:t xml:space="preserve"> of </w:t>
      </w:r>
      <w:r w:rsidR="0079221E">
        <w:rPr>
          <w:rFonts w:ascii="Calibri" w:hAnsi="Calibri" w:cs="Calibri"/>
        </w:rPr>
        <w:t>8.2</w:t>
      </w:r>
      <w:r w:rsidR="003E2EB3">
        <w:rPr>
          <w:rFonts w:ascii="Calibri" w:hAnsi="Calibri" w:cs="Calibri"/>
        </w:rPr>
        <w:t xml:space="preserve">%. Table </w:t>
      </w:r>
      <w:r w:rsidR="003D0788">
        <w:rPr>
          <w:rFonts w:ascii="Calibri" w:hAnsi="Calibri" w:cs="Calibri"/>
        </w:rPr>
        <w:t>7</w:t>
      </w:r>
      <w:r w:rsidR="003E2EB3">
        <w:rPr>
          <w:rFonts w:ascii="Calibri" w:hAnsi="Calibri" w:cs="Calibri"/>
        </w:rPr>
        <w:t xml:space="preserve"> shows the number of queries by category and their % changes compared to the same quarter in 2023. Table </w:t>
      </w:r>
      <w:r w:rsidR="003D0788">
        <w:rPr>
          <w:rFonts w:ascii="Calibri" w:hAnsi="Calibri" w:cs="Calibri"/>
        </w:rPr>
        <w:t>8</w:t>
      </w:r>
      <w:r w:rsidR="00F378A9">
        <w:rPr>
          <w:rFonts w:ascii="Calibri" w:hAnsi="Calibri" w:cs="Calibri"/>
        </w:rPr>
        <w:t xml:space="preserve"> displays</w:t>
      </w:r>
      <w:r w:rsidR="003E2EB3">
        <w:rPr>
          <w:rFonts w:ascii="Calibri" w:hAnsi="Calibri" w:cs="Calibri"/>
        </w:rPr>
        <w:t xml:space="preserve"> the top single payments </w:t>
      </w:r>
      <w:r w:rsidR="0079221E">
        <w:rPr>
          <w:rFonts w:ascii="Calibri" w:hAnsi="Calibri" w:cs="Calibri"/>
        </w:rPr>
        <w:t>/</w:t>
      </w:r>
      <w:r w:rsidR="003E2EB3">
        <w:rPr>
          <w:rFonts w:ascii="Calibri" w:hAnsi="Calibri" w:cs="Calibri"/>
        </w:rPr>
        <w:t xml:space="preserve">schemes for </w:t>
      </w:r>
      <w:r w:rsidR="00F378A9">
        <w:rPr>
          <w:rFonts w:ascii="Calibri" w:hAnsi="Calibri" w:cs="Calibri"/>
        </w:rPr>
        <w:t>the quarter</w:t>
      </w:r>
      <w:r w:rsidR="003E2EB3">
        <w:rPr>
          <w:rFonts w:ascii="Calibri" w:hAnsi="Calibri" w:cs="Calibri"/>
        </w:rPr>
        <w:t xml:space="preserve"> and their changes</w:t>
      </w:r>
      <w:r w:rsidR="00F378A9">
        <w:rPr>
          <w:rFonts w:ascii="Calibri" w:hAnsi="Calibri" w:cs="Calibri"/>
        </w:rPr>
        <w:t xml:space="preserve"> from Q1 2023.</w:t>
      </w:r>
    </w:p>
    <w:p w14:paraId="1B03AE70" w14:textId="70B1C8A9" w:rsidR="000A6757" w:rsidRPr="00B12326" w:rsidRDefault="000A6757" w:rsidP="000A6757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B12326">
        <w:rPr>
          <w:rFonts w:eastAsia="Times New Roman"/>
          <w:b/>
          <w:sz w:val="24"/>
          <w:szCs w:val="24"/>
          <w:lang w:eastAsia="en-IE"/>
        </w:rPr>
        <w:t xml:space="preserve">Table </w:t>
      </w:r>
      <w:r w:rsidR="003D0788">
        <w:rPr>
          <w:rFonts w:eastAsia="Times New Roman"/>
          <w:b/>
          <w:sz w:val="24"/>
          <w:szCs w:val="24"/>
          <w:lang w:eastAsia="en-IE"/>
        </w:rPr>
        <w:t>7</w:t>
      </w:r>
      <w:r w:rsidRPr="00B12326">
        <w:rPr>
          <w:rFonts w:eastAsia="Times New Roman"/>
          <w:b/>
          <w:sz w:val="24"/>
          <w:szCs w:val="24"/>
          <w:lang w:eastAsia="en-IE"/>
        </w:rPr>
        <w:t>- Query Profile Q1 202</w:t>
      </w:r>
      <w:r w:rsidR="00690754">
        <w:rPr>
          <w:rFonts w:eastAsia="Times New Roman"/>
          <w:b/>
          <w:sz w:val="24"/>
          <w:szCs w:val="24"/>
          <w:lang w:eastAsia="en-IE"/>
        </w:rPr>
        <w:t>4</w:t>
      </w:r>
    </w:p>
    <w:tbl>
      <w:tblPr>
        <w:tblStyle w:val="GridTable5Dark-Accent6"/>
        <w:tblW w:w="6799" w:type="dxa"/>
        <w:tblLook w:val="04A0" w:firstRow="1" w:lastRow="0" w:firstColumn="1" w:lastColumn="0" w:noHBand="0" w:noVBand="1"/>
      </w:tblPr>
      <w:tblGrid>
        <w:gridCol w:w="2569"/>
        <w:gridCol w:w="1618"/>
        <w:gridCol w:w="1478"/>
        <w:gridCol w:w="1134"/>
      </w:tblGrid>
      <w:tr w:rsidR="002E38D9" w:rsidRPr="00B12326" w14:paraId="20FF6E48" w14:textId="329B42BC" w:rsidTr="00A37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hideMark/>
          </w:tcPr>
          <w:p w14:paraId="63989890" w14:textId="77777777" w:rsidR="002E38D9" w:rsidRPr="00B12326" w:rsidRDefault="002E38D9" w:rsidP="008839F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Query Category</w:t>
            </w:r>
          </w:p>
        </w:tc>
        <w:tc>
          <w:tcPr>
            <w:tcW w:w="1618" w:type="dxa"/>
            <w:hideMark/>
          </w:tcPr>
          <w:p w14:paraId="7021B150" w14:textId="77777777" w:rsidR="002E38D9" w:rsidRPr="00B12326" w:rsidRDefault="002E38D9" w:rsidP="000D7AE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# of Queries</w:t>
            </w:r>
          </w:p>
        </w:tc>
        <w:tc>
          <w:tcPr>
            <w:tcW w:w="1478" w:type="dxa"/>
            <w:hideMark/>
          </w:tcPr>
          <w:p w14:paraId="579C4492" w14:textId="77777777" w:rsidR="002E38D9" w:rsidRPr="00B12326" w:rsidRDefault="002E38D9" w:rsidP="000D7AE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 of all Queries</w:t>
            </w:r>
          </w:p>
        </w:tc>
        <w:tc>
          <w:tcPr>
            <w:tcW w:w="1134" w:type="dxa"/>
          </w:tcPr>
          <w:p w14:paraId="095BF4AD" w14:textId="601CD5AB" w:rsidR="002E38D9" w:rsidRPr="00F378A9" w:rsidRDefault="00750CA4" w:rsidP="000D7AE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378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Q1 </w:t>
            </w:r>
            <w:r w:rsidR="00A370D4" w:rsidRPr="00F378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‘</w:t>
            </w:r>
            <w:r w:rsidRPr="00F378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AB1326" w:rsidRPr="00F378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9B4FB0" w:rsidRPr="00F378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 ‘</w:t>
            </w:r>
            <w:r w:rsidRPr="00F378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AB1326" w:rsidRPr="00F378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Pr="00F378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% </w:t>
            </w:r>
            <w:r w:rsidR="002E38D9" w:rsidRPr="00F378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Change</w:t>
            </w:r>
          </w:p>
        </w:tc>
      </w:tr>
      <w:tr w:rsidR="002E38D9" w:rsidRPr="00B12326" w14:paraId="0613B785" w14:textId="27C6442D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02368073" w14:textId="77777777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Social Welfare</w:t>
            </w:r>
          </w:p>
        </w:tc>
        <w:tc>
          <w:tcPr>
            <w:tcW w:w="1618" w:type="dxa"/>
            <w:noWrap/>
            <w:hideMark/>
          </w:tcPr>
          <w:p w14:paraId="7FEA6968" w14:textId="62338AEC" w:rsidR="002E38D9" w:rsidRPr="00801909" w:rsidRDefault="00690754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90,772</w:t>
            </w:r>
          </w:p>
        </w:tc>
        <w:tc>
          <w:tcPr>
            <w:tcW w:w="1478" w:type="dxa"/>
            <w:noWrap/>
            <w:hideMark/>
          </w:tcPr>
          <w:p w14:paraId="5EDAAC60" w14:textId="5F7322D3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="006907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4.0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7C323614" w14:textId="6C9734D5" w:rsidR="002E38D9" w:rsidRPr="00AB1326" w:rsidRDefault="00AB1326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-11.7</w:t>
            </w:r>
            <w:r w:rsidR="002E38D9"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36124732" w14:textId="2D51A543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3D741839" w14:textId="77777777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Housing</w:t>
            </w:r>
          </w:p>
        </w:tc>
        <w:tc>
          <w:tcPr>
            <w:tcW w:w="1618" w:type="dxa"/>
            <w:noWrap/>
            <w:hideMark/>
          </w:tcPr>
          <w:p w14:paraId="29D2114F" w14:textId="52501B98" w:rsidR="002E38D9" w:rsidRPr="00801909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23,</w:t>
            </w:r>
            <w:r w:rsidR="00690754"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294</w:t>
            </w:r>
          </w:p>
        </w:tc>
        <w:tc>
          <w:tcPr>
            <w:tcW w:w="1478" w:type="dxa"/>
            <w:noWrap/>
            <w:hideMark/>
          </w:tcPr>
          <w:p w14:paraId="7AEECBED" w14:textId="6A4E368A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6907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1.3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303DC8E4" w14:textId="34EBD0D7" w:rsidR="002E38D9" w:rsidRPr="00AB132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</w:t>
            </w:r>
            <w:r w:rsid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0.6</w:t>
            </w:r>
            <w:r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426F0AB1" w14:textId="4D50AC97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76422BFE" w14:textId="77777777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Health</w:t>
            </w:r>
          </w:p>
        </w:tc>
        <w:tc>
          <w:tcPr>
            <w:tcW w:w="1618" w:type="dxa"/>
            <w:noWrap/>
            <w:hideMark/>
          </w:tcPr>
          <w:p w14:paraId="639E9F84" w14:textId="2D4D5BB9" w:rsidR="002E38D9" w:rsidRPr="00801909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690754"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7,019</w:t>
            </w:r>
          </w:p>
        </w:tc>
        <w:tc>
          <w:tcPr>
            <w:tcW w:w="1478" w:type="dxa"/>
            <w:noWrap/>
            <w:hideMark/>
          </w:tcPr>
          <w:p w14:paraId="575A68B0" w14:textId="3BB224F9" w:rsidR="002E38D9" w:rsidRPr="00D61A06" w:rsidRDefault="00690754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8.2</w:t>
            </w:r>
            <w:r w:rsidR="002E38D9"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2AFA0DED" w14:textId="2B622FEE" w:rsidR="002E38D9" w:rsidRPr="00AB1326" w:rsidRDefault="00AB1326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+3.6</w:t>
            </w:r>
            <w:r w:rsidR="002E38D9"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690754" w:rsidRPr="00B12326" w14:paraId="29997538" w14:textId="77777777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</w:tcPr>
          <w:p w14:paraId="7014B199" w14:textId="14BC4EC6" w:rsidR="00690754" w:rsidRPr="00946F6A" w:rsidRDefault="00690754" w:rsidP="0069075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Local</w:t>
            </w:r>
          </w:p>
        </w:tc>
        <w:tc>
          <w:tcPr>
            <w:tcW w:w="1618" w:type="dxa"/>
            <w:noWrap/>
          </w:tcPr>
          <w:p w14:paraId="64EE3DB4" w14:textId="18DF354B" w:rsidR="00690754" w:rsidRPr="00801909" w:rsidRDefault="00690754" w:rsidP="0069075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14,621</w:t>
            </w:r>
          </w:p>
        </w:tc>
        <w:tc>
          <w:tcPr>
            <w:tcW w:w="1478" w:type="dxa"/>
            <w:noWrap/>
          </w:tcPr>
          <w:p w14:paraId="22C21DCD" w14:textId="5CBB4DC3" w:rsidR="00690754" w:rsidRPr="00D61A06" w:rsidRDefault="00690754" w:rsidP="0069075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7.1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0BFDFB2C" w14:textId="25FE0C4B" w:rsidR="00690754" w:rsidRPr="00AB1326" w:rsidRDefault="00690754" w:rsidP="0069075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</w:t>
            </w:r>
            <w:r w:rsid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10.5</w:t>
            </w:r>
            <w:r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5FCFF025" w14:textId="55F4F43E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38FA1193" w14:textId="6821B442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Money and Tax</w:t>
            </w:r>
          </w:p>
        </w:tc>
        <w:tc>
          <w:tcPr>
            <w:tcW w:w="1618" w:type="dxa"/>
            <w:noWrap/>
            <w:hideMark/>
          </w:tcPr>
          <w:p w14:paraId="6C81161B" w14:textId="40D5CD23" w:rsidR="002E38D9" w:rsidRPr="00801909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690754"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3,750</w:t>
            </w:r>
          </w:p>
        </w:tc>
        <w:tc>
          <w:tcPr>
            <w:tcW w:w="1478" w:type="dxa"/>
            <w:noWrap/>
            <w:hideMark/>
          </w:tcPr>
          <w:p w14:paraId="2F3A049E" w14:textId="2A569F5E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6.7%</w:t>
            </w:r>
          </w:p>
        </w:tc>
        <w:tc>
          <w:tcPr>
            <w:tcW w:w="1134" w:type="dxa"/>
          </w:tcPr>
          <w:p w14:paraId="314AE2BD" w14:textId="0BC48DB9" w:rsidR="002E38D9" w:rsidRPr="00AB1326" w:rsidRDefault="00AB1326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-6.9</w:t>
            </w:r>
            <w:r w:rsidR="002E38D9"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705973E2" w14:textId="20E93BF0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473CB7F9" w14:textId="49EAFA10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Employment</w:t>
            </w:r>
          </w:p>
        </w:tc>
        <w:tc>
          <w:tcPr>
            <w:tcW w:w="1618" w:type="dxa"/>
            <w:noWrap/>
            <w:hideMark/>
          </w:tcPr>
          <w:p w14:paraId="7F6AA0F2" w14:textId="674366F5" w:rsidR="002E38D9" w:rsidRPr="00801909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690754"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2,415</w:t>
            </w:r>
          </w:p>
        </w:tc>
        <w:tc>
          <w:tcPr>
            <w:tcW w:w="1478" w:type="dxa"/>
            <w:noWrap/>
            <w:hideMark/>
          </w:tcPr>
          <w:p w14:paraId="38AD6DC8" w14:textId="48D2EA1D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</w:t>
            </w:r>
            <w:r w:rsidR="006907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2EAD2068" w14:textId="3D78D66F" w:rsidR="002E38D9" w:rsidRPr="00AB132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</w:t>
            </w:r>
            <w:r w:rsid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</w:t>
            </w:r>
            <w:r w:rsid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.3</w:t>
            </w:r>
            <w:r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75313FB2" w14:textId="438DBE2B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0DC36340" w14:textId="77777777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Moving Country</w:t>
            </w:r>
          </w:p>
        </w:tc>
        <w:tc>
          <w:tcPr>
            <w:tcW w:w="1618" w:type="dxa"/>
            <w:noWrap/>
            <w:hideMark/>
          </w:tcPr>
          <w:p w14:paraId="1BC34B78" w14:textId="540A8235" w:rsidR="002E38D9" w:rsidRPr="00801909" w:rsidRDefault="00690754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9,891</w:t>
            </w:r>
          </w:p>
        </w:tc>
        <w:tc>
          <w:tcPr>
            <w:tcW w:w="1478" w:type="dxa"/>
            <w:noWrap/>
            <w:hideMark/>
          </w:tcPr>
          <w:p w14:paraId="2E32FD6E" w14:textId="47613434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</w:t>
            </w:r>
            <w:r w:rsidR="006907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2FC55FB3" w14:textId="3D636BE6" w:rsidR="002E38D9" w:rsidRPr="00AB1326" w:rsidRDefault="00AB1326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-1.4</w:t>
            </w:r>
            <w:r w:rsidR="00946F6A"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4206DB24" w14:textId="41F514F8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7D658E97" w14:textId="0597E362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Justice</w:t>
            </w:r>
          </w:p>
        </w:tc>
        <w:tc>
          <w:tcPr>
            <w:tcW w:w="1618" w:type="dxa"/>
            <w:noWrap/>
            <w:hideMark/>
          </w:tcPr>
          <w:p w14:paraId="3C1C2BAB" w14:textId="26771348" w:rsidR="002E38D9" w:rsidRPr="00801909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5,</w:t>
            </w:r>
            <w:r w:rsidR="00690754"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251</w:t>
            </w:r>
          </w:p>
        </w:tc>
        <w:tc>
          <w:tcPr>
            <w:tcW w:w="1478" w:type="dxa"/>
            <w:noWrap/>
            <w:hideMark/>
          </w:tcPr>
          <w:p w14:paraId="1FC41FDB" w14:textId="344D1C9C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2.5%</w:t>
            </w:r>
          </w:p>
        </w:tc>
        <w:tc>
          <w:tcPr>
            <w:tcW w:w="1134" w:type="dxa"/>
          </w:tcPr>
          <w:p w14:paraId="723237BF" w14:textId="12F88E4F" w:rsidR="002E38D9" w:rsidRPr="00AB1326" w:rsidRDefault="00AB1326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-3.9</w:t>
            </w:r>
            <w:r w:rsidR="00946F6A"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3A2FC437" w14:textId="0B91896F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1C11D1F7" w14:textId="62EEBDBA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Travel and Recreation</w:t>
            </w:r>
          </w:p>
        </w:tc>
        <w:tc>
          <w:tcPr>
            <w:tcW w:w="1618" w:type="dxa"/>
            <w:noWrap/>
            <w:hideMark/>
          </w:tcPr>
          <w:p w14:paraId="72B0BB0E" w14:textId="19A5CA29" w:rsidR="002E38D9" w:rsidRPr="00801909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5,2</w:t>
            </w:r>
            <w:r w:rsidR="00690754"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03</w:t>
            </w:r>
          </w:p>
        </w:tc>
        <w:tc>
          <w:tcPr>
            <w:tcW w:w="1478" w:type="dxa"/>
            <w:noWrap/>
            <w:hideMark/>
          </w:tcPr>
          <w:p w14:paraId="01050F7C" w14:textId="7CB89B86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</w:t>
            </w:r>
            <w:r w:rsidR="006907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6952224A" w14:textId="70B3F699" w:rsidR="002E38D9" w:rsidRPr="00AB1326" w:rsidRDefault="00946F6A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</w:t>
            </w:r>
            <w:r w:rsid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1.8</w:t>
            </w:r>
            <w:r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0276312D" w14:textId="0EFA6F37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5587465A" w14:textId="48B86C72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Birth, Family and Relationships</w:t>
            </w:r>
          </w:p>
        </w:tc>
        <w:tc>
          <w:tcPr>
            <w:tcW w:w="1618" w:type="dxa"/>
            <w:noWrap/>
            <w:hideMark/>
          </w:tcPr>
          <w:p w14:paraId="41A2BDDE" w14:textId="2555952C" w:rsidR="002E38D9" w:rsidRPr="00801909" w:rsidRDefault="00690754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4,619</w:t>
            </w:r>
          </w:p>
        </w:tc>
        <w:tc>
          <w:tcPr>
            <w:tcW w:w="1478" w:type="dxa"/>
            <w:noWrap/>
            <w:hideMark/>
          </w:tcPr>
          <w:p w14:paraId="1B5AB8F4" w14:textId="7D60C3E4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</w:t>
            </w:r>
            <w:r w:rsidR="006907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38894DE6" w14:textId="49FA4601" w:rsidR="002E38D9" w:rsidRPr="00AB1326" w:rsidRDefault="00946F6A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</w:t>
            </w:r>
            <w:r w:rsid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9.0</w:t>
            </w:r>
            <w:r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54CFD833" w14:textId="067E3DE2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0B49383C" w14:textId="11587EEA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Consumer Affairs</w:t>
            </w:r>
          </w:p>
        </w:tc>
        <w:tc>
          <w:tcPr>
            <w:tcW w:w="1618" w:type="dxa"/>
            <w:noWrap/>
            <w:hideMark/>
          </w:tcPr>
          <w:p w14:paraId="12FF01B6" w14:textId="1827702B" w:rsidR="002E38D9" w:rsidRPr="00801909" w:rsidRDefault="00690754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2,993</w:t>
            </w:r>
          </w:p>
        </w:tc>
        <w:tc>
          <w:tcPr>
            <w:tcW w:w="1478" w:type="dxa"/>
            <w:noWrap/>
            <w:hideMark/>
          </w:tcPr>
          <w:p w14:paraId="5BF15828" w14:textId="31178DF6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1.5%</w:t>
            </w:r>
          </w:p>
        </w:tc>
        <w:tc>
          <w:tcPr>
            <w:tcW w:w="1134" w:type="dxa"/>
          </w:tcPr>
          <w:p w14:paraId="3418CBF6" w14:textId="37CD869C" w:rsidR="002E38D9" w:rsidRPr="00AB1326" w:rsidRDefault="00AB1326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-11.1</w:t>
            </w:r>
            <w:r w:rsidR="00946F6A"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11356738" w14:textId="3655736F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44A600A2" w14:textId="0EC0EB42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Education and Training</w:t>
            </w:r>
          </w:p>
        </w:tc>
        <w:tc>
          <w:tcPr>
            <w:tcW w:w="1618" w:type="dxa"/>
            <w:noWrap/>
            <w:hideMark/>
          </w:tcPr>
          <w:p w14:paraId="2F73141B" w14:textId="21837A3D" w:rsidR="002E38D9" w:rsidRPr="00801909" w:rsidRDefault="00690754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2,978</w:t>
            </w:r>
          </w:p>
        </w:tc>
        <w:tc>
          <w:tcPr>
            <w:tcW w:w="1478" w:type="dxa"/>
            <w:noWrap/>
            <w:hideMark/>
          </w:tcPr>
          <w:p w14:paraId="6CD70DB2" w14:textId="2AB2B87B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1.4%</w:t>
            </w:r>
          </w:p>
        </w:tc>
        <w:tc>
          <w:tcPr>
            <w:tcW w:w="1134" w:type="dxa"/>
          </w:tcPr>
          <w:p w14:paraId="073A45B7" w14:textId="7EE30D14" w:rsidR="002E38D9" w:rsidRPr="00AB1326" w:rsidRDefault="00AB1326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-4.9</w:t>
            </w:r>
            <w:r w:rsidR="00946F6A"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690754" w:rsidRPr="00B12326" w14:paraId="09191435" w14:textId="77777777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</w:tcPr>
          <w:p w14:paraId="54E37C12" w14:textId="751C0604" w:rsidR="00690754" w:rsidRPr="00946F6A" w:rsidRDefault="00690754" w:rsidP="0069075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Government in Ireland</w:t>
            </w:r>
          </w:p>
        </w:tc>
        <w:tc>
          <w:tcPr>
            <w:tcW w:w="1618" w:type="dxa"/>
            <w:noWrap/>
          </w:tcPr>
          <w:p w14:paraId="361BA0C5" w14:textId="6226D98F" w:rsidR="00690754" w:rsidRPr="00801909" w:rsidRDefault="00690754" w:rsidP="0069075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1,665</w:t>
            </w:r>
          </w:p>
        </w:tc>
        <w:tc>
          <w:tcPr>
            <w:tcW w:w="1478" w:type="dxa"/>
            <w:noWrap/>
          </w:tcPr>
          <w:p w14:paraId="5CF3846D" w14:textId="372E1165" w:rsidR="00690754" w:rsidRPr="00D61A06" w:rsidRDefault="00690754" w:rsidP="0069075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052C21CB" w14:textId="37F17F06" w:rsidR="00690754" w:rsidRPr="00AB1326" w:rsidRDefault="00AB1326" w:rsidP="0069075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+36.1</w:t>
            </w:r>
            <w:r w:rsidR="00690754"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1E443FC9" w14:textId="61912F88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48C58511" w14:textId="29F696E3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Death and Bereavement</w:t>
            </w:r>
          </w:p>
        </w:tc>
        <w:tc>
          <w:tcPr>
            <w:tcW w:w="1618" w:type="dxa"/>
            <w:noWrap/>
            <w:hideMark/>
          </w:tcPr>
          <w:p w14:paraId="5C8EC014" w14:textId="1AB612E6" w:rsidR="002E38D9" w:rsidRPr="00801909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1,5</w:t>
            </w:r>
            <w:r w:rsidR="00792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63</w:t>
            </w:r>
          </w:p>
        </w:tc>
        <w:tc>
          <w:tcPr>
            <w:tcW w:w="1478" w:type="dxa"/>
            <w:noWrap/>
            <w:hideMark/>
          </w:tcPr>
          <w:p w14:paraId="6B6BB679" w14:textId="1C9B88CC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 w:rsidR="00792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19D95B23" w14:textId="598C9C70" w:rsidR="002E38D9" w:rsidRPr="00AB1326" w:rsidRDefault="00AB1326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</w:t>
            </w:r>
            <w:r w:rsidR="00792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1.2</w:t>
            </w:r>
            <w:r w:rsidR="00946F6A"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67458216" w14:textId="45BFDDB5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</w:tcPr>
          <w:p w14:paraId="29C9E2A2" w14:textId="0ABC5320" w:rsidR="002E38D9" w:rsidRPr="00946F6A" w:rsidRDefault="002E38D9" w:rsidP="009F63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Environment</w:t>
            </w:r>
          </w:p>
        </w:tc>
        <w:tc>
          <w:tcPr>
            <w:tcW w:w="1618" w:type="dxa"/>
            <w:noWrap/>
            <w:hideMark/>
          </w:tcPr>
          <w:p w14:paraId="41082D81" w14:textId="392AD5DE" w:rsidR="002E38D9" w:rsidRPr="00801909" w:rsidRDefault="00690754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447</w:t>
            </w:r>
          </w:p>
        </w:tc>
        <w:tc>
          <w:tcPr>
            <w:tcW w:w="1478" w:type="dxa"/>
            <w:noWrap/>
            <w:hideMark/>
          </w:tcPr>
          <w:p w14:paraId="71C680BB" w14:textId="4A755A6C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0.2%</w:t>
            </w:r>
          </w:p>
        </w:tc>
        <w:tc>
          <w:tcPr>
            <w:tcW w:w="1134" w:type="dxa"/>
          </w:tcPr>
          <w:p w14:paraId="6CA93C99" w14:textId="70FF8402" w:rsidR="002E38D9" w:rsidRPr="00AB1326" w:rsidRDefault="00946F6A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</w:t>
            </w:r>
            <w:r w:rsid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3.7%</w:t>
            </w:r>
          </w:p>
        </w:tc>
      </w:tr>
      <w:tr w:rsidR="002E38D9" w:rsidRPr="00B12326" w14:paraId="244DC88D" w14:textId="33869D3D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</w:tcPr>
          <w:p w14:paraId="709C8571" w14:textId="5680021D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Covid 19</w:t>
            </w:r>
          </w:p>
        </w:tc>
        <w:tc>
          <w:tcPr>
            <w:tcW w:w="1618" w:type="dxa"/>
            <w:noWrap/>
            <w:hideMark/>
          </w:tcPr>
          <w:p w14:paraId="3FB83F21" w14:textId="182995A8" w:rsidR="002E38D9" w:rsidRPr="00801909" w:rsidRDefault="00690754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01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1478" w:type="dxa"/>
            <w:noWrap/>
            <w:hideMark/>
          </w:tcPr>
          <w:p w14:paraId="1A5AB13A" w14:textId="7244964B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 w:rsidR="006907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4E4AF71D" w14:textId="69BA060C" w:rsidR="002E38D9" w:rsidRPr="00AB1326" w:rsidRDefault="00946F6A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-9</w:t>
            </w:r>
            <w:r w:rsid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</w:t>
            </w:r>
            <w:r w:rsid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  <w:r w:rsidRPr="00AB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  <w:r w:rsidR="00CF5F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*</w:t>
            </w:r>
          </w:p>
        </w:tc>
      </w:tr>
      <w:tr w:rsidR="002E38D9" w:rsidRPr="00B12326" w14:paraId="1093DC48" w14:textId="2CF6F817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571391D4" w14:textId="77777777" w:rsidR="002E38D9" w:rsidRPr="00B12326" w:rsidRDefault="002E38D9" w:rsidP="008839F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618" w:type="dxa"/>
            <w:noWrap/>
            <w:hideMark/>
          </w:tcPr>
          <w:p w14:paraId="24CE4C3B" w14:textId="5E846C80" w:rsidR="002E38D9" w:rsidRPr="00801909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019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</w:t>
            </w:r>
            <w:r w:rsidR="00690754" w:rsidRPr="008019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06,495</w:t>
            </w:r>
          </w:p>
        </w:tc>
        <w:tc>
          <w:tcPr>
            <w:tcW w:w="1478" w:type="dxa"/>
            <w:noWrap/>
            <w:hideMark/>
          </w:tcPr>
          <w:p w14:paraId="194F4196" w14:textId="77777777" w:rsidR="002E38D9" w:rsidRPr="00B1232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  <w:tc>
          <w:tcPr>
            <w:tcW w:w="1134" w:type="dxa"/>
          </w:tcPr>
          <w:p w14:paraId="19985B0E" w14:textId="07F5CB8B" w:rsidR="002E38D9" w:rsidRPr="00B12326" w:rsidRDefault="00AB1326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-6.1%</w:t>
            </w:r>
          </w:p>
        </w:tc>
      </w:tr>
    </w:tbl>
    <w:p w14:paraId="537D6625" w14:textId="215501EE" w:rsidR="00801909" w:rsidRDefault="00972FE7" w:rsidP="00CF5FB2">
      <w:pPr>
        <w:pStyle w:val="Heading1"/>
        <w:rPr>
          <w:rFonts w:eastAsia="Times New Roman"/>
          <w:b/>
          <w:sz w:val="24"/>
          <w:szCs w:val="24"/>
          <w:lang w:eastAsia="en-IE"/>
        </w:rPr>
      </w:pPr>
      <w:r>
        <w:rPr>
          <w:rFonts w:eastAsia="Times New Roman"/>
          <w:b/>
          <w:i/>
          <w:sz w:val="24"/>
          <w:szCs w:val="24"/>
          <w:lang w:eastAsia="en-IE"/>
        </w:rPr>
        <w:t>*</w:t>
      </w:r>
      <w:r w:rsidR="00CF5FB2" w:rsidRPr="00972FE7">
        <w:rPr>
          <w:rFonts w:eastAsia="Times New Roman"/>
          <w:b/>
          <w:i/>
          <w:sz w:val="24"/>
          <w:szCs w:val="24"/>
          <w:lang w:eastAsia="en-IE"/>
        </w:rPr>
        <w:t>The Covid 19 Category was removed during this quarter</w:t>
      </w:r>
      <w:r w:rsidR="00CF5FB2">
        <w:rPr>
          <w:rFonts w:eastAsia="Times New Roman"/>
          <w:b/>
          <w:sz w:val="24"/>
          <w:szCs w:val="24"/>
          <w:lang w:eastAsia="en-IE"/>
        </w:rPr>
        <w:t>.</w:t>
      </w:r>
    </w:p>
    <w:p w14:paraId="64675BD9" w14:textId="20B6A4A9" w:rsidR="000A6757" w:rsidRPr="00B12326" w:rsidRDefault="006E10B5" w:rsidP="000A6757">
      <w:pPr>
        <w:pStyle w:val="Heading1"/>
        <w:rPr>
          <w:rFonts w:eastAsia="Times New Roman"/>
          <w:b/>
          <w:sz w:val="24"/>
          <w:szCs w:val="24"/>
          <w:lang w:eastAsia="en-IE"/>
        </w:rPr>
      </w:pPr>
      <w:r>
        <w:rPr>
          <w:rFonts w:eastAsia="Times New Roman"/>
          <w:b/>
          <w:sz w:val="24"/>
          <w:szCs w:val="24"/>
          <w:lang w:eastAsia="en-IE"/>
        </w:rPr>
        <w:br w:type="column"/>
      </w:r>
      <w:r w:rsidR="00092A66">
        <w:rPr>
          <w:rFonts w:eastAsia="Times New Roman"/>
          <w:b/>
          <w:sz w:val="24"/>
          <w:szCs w:val="24"/>
          <w:lang w:eastAsia="en-IE"/>
        </w:rPr>
        <w:t>T</w:t>
      </w:r>
      <w:r w:rsidR="000A6757" w:rsidRPr="00BE07BC">
        <w:rPr>
          <w:rFonts w:eastAsia="Times New Roman"/>
          <w:b/>
          <w:sz w:val="24"/>
          <w:szCs w:val="24"/>
          <w:lang w:eastAsia="en-IE"/>
        </w:rPr>
        <w:t xml:space="preserve">able </w:t>
      </w:r>
      <w:r w:rsidR="003D0788">
        <w:rPr>
          <w:rFonts w:eastAsia="Times New Roman"/>
          <w:b/>
          <w:sz w:val="24"/>
          <w:szCs w:val="24"/>
          <w:lang w:eastAsia="en-IE"/>
        </w:rPr>
        <w:t>8</w:t>
      </w:r>
      <w:r w:rsidR="000A6757" w:rsidRPr="00BE07BC">
        <w:rPr>
          <w:rFonts w:eastAsia="Times New Roman"/>
          <w:b/>
          <w:sz w:val="24"/>
          <w:szCs w:val="24"/>
          <w:lang w:eastAsia="en-IE"/>
        </w:rPr>
        <w:t xml:space="preserve"> - Top-Ten Single Payments or Schemes, Q1 202</w:t>
      </w:r>
      <w:r w:rsidR="00690754">
        <w:rPr>
          <w:rFonts w:eastAsia="Times New Roman"/>
          <w:b/>
          <w:sz w:val="24"/>
          <w:szCs w:val="24"/>
          <w:lang w:eastAsia="en-IE"/>
        </w:rPr>
        <w:t>4</w:t>
      </w:r>
    </w:p>
    <w:tbl>
      <w:tblPr>
        <w:tblStyle w:val="GridTable5Dark-Accent6"/>
        <w:tblW w:w="6345" w:type="dxa"/>
        <w:tblLook w:val="04A0" w:firstRow="1" w:lastRow="0" w:firstColumn="1" w:lastColumn="0" w:noHBand="0" w:noVBand="1"/>
      </w:tblPr>
      <w:tblGrid>
        <w:gridCol w:w="442"/>
        <w:gridCol w:w="1793"/>
        <w:gridCol w:w="1690"/>
        <w:gridCol w:w="1145"/>
        <w:gridCol w:w="1275"/>
      </w:tblGrid>
      <w:tr w:rsidR="000A6757" w:rsidRPr="00B12326" w14:paraId="377DEDCF" w14:textId="77777777" w:rsidTr="006E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0A672490" w14:textId="0596CCB5" w:rsidR="000A6757" w:rsidRPr="00B12326" w:rsidRDefault="000A6757" w:rsidP="008839F4">
            <w:pPr>
              <w:spacing w:line="240" w:lineRule="auto"/>
              <w:rPr>
                <w:rFonts w:ascii="Tw Cen MT" w:eastAsia="Times New Roman" w:hAnsi="Tw Cen MT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793" w:type="dxa"/>
            <w:hideMark/>
          </w:tcPr>
          <w:p w14:paraId="31F25319" w14:textId="77777777" w:rsidR="000A6757" w:rsidRPr="00B12326" w:rsidRDefault="000A6757" w:rsidP="008839F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Category</w:t>
            </w:r>
          </w:p>
        </w:tc>
        <w:tc>
          <w:tcPr>
            <w:tcW w:w="1690" w:type="dxa"/>
            <w:hideMark/>
          </w:tcPr>
          <w:p w14:paraId="386AB50F" w14:textId="77777777" w:rsidR="000A6757" w:rsidRPr="00B12326" w:rsidRDefault="000A6757" w:rsidP="008839F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Single Payment or Scheme</w:t>
            </w:r>
          </w:p>
        </w:tc>
        <w:tc>
          <w:tcPr>
            <w:tcW w:w="1145" w:type="dxa"/>
            <w:hideMark/>
          </w:tcPr>
          <w:p w14:paraId="70B0C528" w14:textId="77777777" w:rsidR="000A6757" w:rsidRPr="00B12326" w:rsidRDefault="000A6757" w:rsidP="0047749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# of Queries</w:t>
            </w:r>
          </w:p>
        </w:tc>
        <w:tc>
          <w:tcPr>
            <w:tcW w:w="1275" w:type="dxa"/>
            <w:hideMark/>
          </w:tcPr>
          <w:p w14:paraId="48887F06" w14:textId="5C7D9BDB" w:rsidR="000A6757" w:rsidRPr="00B12326" w:rsidRDefault="000A6757" w:rsidP="0047749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  <w:r w:rsidR="00A35B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Change Q1 </w:t>
            </w:r>
            <w:r w:rsidR="00A37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‘</w:t>
            </w:r>
            <w:r w:rsidR="00A35B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092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 ‘</w:t>
            </w:r>
            <w:r w:rsidR="00A35B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092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="00A35B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</w:tr>
      <w:tr w:rsidR="000A6757" w:rsidRPr="008D5E8F" w14:paraId="0C23AA2F" w14:textId="77777777" w:rsidTr="006E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7518F5DD" w14:textId="77777777" w:rsidR="000A6757" w:rsidRPr="00B12326" w:rsidRDefault="000A6757" w:rsidP="008839F4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1793" w:type="dxa"/>
            <w:hideMark/>
          </w:tcPr>
          <w:p w14:paraId="599D0D0E" w14:textId="77777777" w:rsidR="000A6757" w:rsidRPr="0079221E" w:rsidRDefault="000A6757" w:rsidP="008839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7922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Health - Medical Card</w:t>
            </w:r>
          </w:p>
        </w:tc>
        <w:tc>
          <w:tcPr>
            <w:tcW w:w="1690" w:type="dxa"/>
            <w:hideMark/>
          </w:tcPr>
          <w:p w14:paraId="790AAFF8" w14:textId="77777777" w:rsidR="000A6757" w:rsidRPr="00A6407E" w:rsidRDefault="000A6757" w:rsidP="008839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407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Medical Card</w:t>
            </w:r>
          </w:p>
        </w:tc>
        <w:tc>
          <w:tcPr>
            <w:tcW w:w="1145" w:type="dxa"/>
            <w:noWrap/>
            <w:hideMark/>
          </w:tcPr>
          <w:p w14:paraId="2A0DADCA" w14:textId="08C0FEFD" w:rsidR="000A6757" w:rsidRPr="00AB1326" w:rsidRDefault="008A55C9" w:rsidP="008839F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IE"/>
              </w:rPr>
            </w:pPr>
            <w:r w:rsidRPr="00A64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10,</w:t>
            </w:r>
            <w:r w:rsidR="00A6407E" w:rsidRPr="00A64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974</w:t>
            </w:r>
          </w:p>
        </w:tc>
        <w:tc>
          <w:tcPr>
            <w:tcW w:w="1275" w:type="dxa"/>
            <w:noWrap/>
            <w:hideMark/>
          </w:tcPr>
          <w:p w14:paraId="69D0D90D" w14:textId="6DF7D9FC" w:rsidR="000A6757" w:rsidRPr="00AB1326" w:rsidRDefault="00092A66" w:rsidP="008839F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IE"/>
              </w:rPr>
            </w:pPr>
            <w:r w:rsidRPr="00092A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+7.1%</w:t>
            </w:r>
          </w:p>
        </w:tc>
      </w:tr>
      <w:tr w:rsidR="00A6407E" w:rsidRPr="008D5E8F" w14:paraId="48B52112" w14:textId="77777777" w:rsidTr="006E10B5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4F44741C" w14:textId="77777777" w:rsidR="00A6407E" w:rsidRPr="00B12326" w:rsidRDefault="00A6407E" w:rsidP="00A6407E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1793" w:type="dxa"/>
            <w:hideMark/>
          </w:tcPr>
          <w:p w14:paraId="1027485E" w14:textId="6573D1FF" w:rsidR="00A6407E" w:rsidRPr="0079221E" w:rsidRDefault="00A6407E" w:rsidP="00A640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7922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 – Older People</w:t>
            </w:r>
          </w:p>
        </w:tc>
        <w:tc>
          <w:tcPr>
            <w:tcW w:w="1690" w:type="dxa"/>
            <w:hideMark/>
          </w:tcPr>
          <w:p w14:paraId="4E0FEABB" w14:textId="2E7AE71E" w:rsidR="00A6407E" w:rsidRPr="00A6407E" w:rsidRDefault="00A6407E" w:rsidP="00A640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A64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State Pension (cont.)</w:t>
            </w:r>
          </w:p>
        </w:tc>
        <w:tc>
          <w:tcPr>
            <w:tcW w:w="1145" w:type="dxa"/>
            <w:noWrap/>
            <w:hideMark/>
          </w:tcPr>
          <w:p w14:paraId="53ACE4B2" w14:textId="60FCB5E1" w:rsidR="00A6407E" w:rsidRPr="00A6407E" w:rsidRDefault="00A6407E" w:rsidP="00A640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A64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7,874</w:t>
            </w:r>
          </w:p>
        </w:tc>
        <w:tc>
          <w:tcPr>
            <w:tcW w:w="1275" w:type="dxa"/>
            <w:noWrap/>
            <w:hideMark/>
          </w:tcPr>
          <w:p w14:paraId="2ACE558F" w14:textId="68C7C830" w:rsidR="00A6407E" w:rsidRPr="00AB1326" w:rsidRDefault="00092A66" w:rsidP="00A640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IE"/>
              </w:rPr>
            </w:pPr>
            <w:r w:rsidRPr="00092A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-2.6%</w:t>
            </w:r>
          </w:p>
        </w:tc>
      </w:tr>
      <w:tr w:rsidR="00A6407E" w:rsidRPr="008D5E8F" w14:paraId="1A40D411" w14:textId="77777777" w:rsidTr="006E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67C28C60" w14:textId="77777777" w:rsidR="00A6407E" w:rsidRPr="00B12326" w:rsidRDefault="00A6407E" w:rsidP="00A6407E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1793" w:type="dxa"/>
            <w:hideMark/>
          </w:tcPr>
          <w:p w14:paraId="2D901ABD" w14:textId="1CB6E2E3" w:rsidR="00A6407E" w:rsidRPr="0079221E" w:rsidRDefault="00A6407E" w:rsidP="00A640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7922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 - Disability &amp; Illness</w:t>
            </w:r>
          </w:p>
        </w:tc>
        <w:tc>
          <w:tcPr>
            <w:tcW w:w="1690" w:type="dxa"/>
            <w:hideMark/>
          </w:tcPr>
          <w:p w14:paraId="0C5E92AA" w14:textId="1D2BA988" w:rsidR="00A6407E" w:rsidRPr="00A6407E" w:rsidRDefault="00A6407E" w:rsidP="00A640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A64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Disability Allowance</w:t>
            </w:r>
          </w:p>
        </w:tc>
        <w:tc>
          <w:tcPr>
            <w:tcW w:w="1145" w:type="dxa"/>
            <w:noWrap/>
            <w:hideMark/>
          </w:tcPr>
          <w:p w14:paraId="232D3A9B" w14:textId="02B70037" w:rsidR="00A6407E" w:rsidRPr="00A6407E" w:rsidRDefault="00092A66" w:rsidP="00A640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6,899</w:t>
            </w:r>
          </w:p>
        </w:tc>
        <w:tc>
          <w:tcPr>
            <w:tcW w:w="1275" w:type="dxa"/>
            <w:noWrap/>
            <w:hideMark/>
          </w:tcPr>
          <w:p w14:paraId="192E24A7" w14:textId="4A7A08AE" w:rsidR="00A6407E" w:rsidRPr="00AB1326" w:rsidRDefault="00092A66" w:rsidP="00A640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IE"/>
              </w:rPr>
            </w:pPr>
            <w:r w:rsidRPr="00092A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-5.0%</w:t>
            </w:r>
          </w:p>
        </w:tc>
      </w:tr>
      <w:tr w:rsidR="00A6407E" w:rsidRPr="008D5E8F" w14:paraId="74458622" w14:textId="77777777" w:rsidTr="006E10B5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441448E6" w14:textId="77777777" w:rsidR="00A6407E" w:rsidRPr="00B12326" w:rsidRDefault="00A6407E" w:rsidP="00A6407E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1793" w:type="dxa"/>
            <w:hideMark/>
          </w:tcPr>
          <w:p w14:paraId="593D6649" w14:textId="010F5BFD" w:rsidR="00A6407E" w:rsidRPr="0079221E" w:rsidRDefault="00A6407E" w:rsidP="00A640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7922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 – Carers</w:t>
            </w:r>
          </w:p>
        </w:tc>
        <w:tc>
          <w:tcPr>
            <w:tcW w:w="1690" w:type="dxa"/>
            <w:hideMark/>
          </w:tcPr>
          <w:p w14:paraId="2389EA58" w14:textId="103DE150" w:rsidR="00A6407E" w:rsidRPr="00A6407E" w:rsidRDefault="00A6407E" w:rsidP="00A640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407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Carer’s Allowance</w:t>
            </w:r>
          </w:p>
        </w:tc>
        <w:tc>
          <w:tcPr>
            <w:tcW w:w="1145" w:type="dxa"/>
            <w:noWrap/>
            <w:hideMark/>
          </w:tcPr>
          <w:p w14:paraId="7CEFF40D" w14:textId="17F1D36B" w:rsidR="00A6407E" w:rsidRPr="00A6407E" w:rsidRDefault="00A6407E" w:rsidP="00A640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A64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6,066</w:t>
            </w:r>
          </w:p>
        </w:tc>
        <w:tc>
          <w:tcPr>
            <w:tcW w:w="1275" w:type="dxa"/>
            <w:noWrap/>
            <w:hideMark/>
          </w:tcPr>
          <w:p w14:paraId="1C729EDF" w14:textId="29991139" w:rsidR="00A6407E" w:rsidRPr="00AB1326" w:rsidRDefault="00092A66" w:rsidP="00A640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IE"/>
              </w:rPr>
            </w:pPr>
            <w:r w:rsidRPr="00092A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-8.6%</w:t>
            </w:r>
          </w:p>
        </w:tc>
      </w:tr>
      <w:tr w:rsidR="00A6407E" w:rsidRPr="00B12326" w14:paraId="77C3E8A6" w14:textId="77777777" w:rsidTr="006E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1E8D91B9" w14:textId="77777777" w:rsidR="00A6407E" w:rsidRPr="008D5E8F" w:rsidRDefault="00A6407E" w:rsidP="00A6407E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</w:t>
            </w:r>
          </w:p>
        </w:tc>
        <w:tc>
          <w:tcPr>
            <w:tcW w:w="1793" w:type="dxa"/>
          </w:tcPr>
          <w:p w14:paraId="381C1D5B" w14:textId="505394AF" w:rsidR="00A6407E" w:rsidRPr="0079221E" w:rsidRDefault="00A6407E" w:rsidP="00A640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7922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Housing - Local Authority and Social Housing</w:t>
            </w:r>
          </w:p>
        </w:tc>
        <w:tc>
          <w:tcPr>
            <w:tcW w:w="1690" w:type="dxa"/>
          </w:tcPr>
          <w:p w14:paraId="299EF9E9" w14:textId="7970B33E" w:rsidR="00A6407E" w:rsidRPr="00A6407E" w:rsidRDefault="00A6407E" w:rsidP="00A640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407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Applying for Local Authority/Social Housing</w:t>
            </w:r>
          </w:p>
        </w:tc>
        <w:tc>
          <w:tcPr>
            <w:tcW w:w="1145" w:type="dxa"/>
            <w:noWrap/>
            <w:hideMark/>
          </w:tcPr>
          <w:p w14:paraId="52E62EEB" w14:textId="629B3A4A" w:rsidR="00A6407E" w:rsidRPr="00A6407E" w:rsidRDefault="00A6407E" w:rsidP="00A640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A64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5,782</w:t>
            </w:r>
          </w:p>
        </w:tc>
        <w:tc>
          <w:tcPr>
            <w:tcW w:w="1275" w:type="dxa"/>
            <w:noWrap/>
            <w:hideMark/>
          </w:tcPr>
          <w:p w14:paraId="63A2CDF4" w14:textId="728C2D67" w:rsidR="00A6407E" w:rsidRPr="00092A66" w:rsidRDefault="00092A66" w:rsidP="00A640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92A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+4.3%</w:t>
            </w:r>
          </w:p>
        </w:tc>
      </w:tr>
      <w:tr w:rsidR="000A6757" w:rsidRPr="00B12326" w14:paraId="6CE7D148" w14:textId="77777777" w:rsidTr="006E10B5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31C10E6F" w14:textId="77777777" w:rsidR="000A6757" w:rsidRPr="008D5E8F" w:rsidRDefault="000A6757" w:rsidP="008839F4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</w:t>
            </w:r>
          </w:p>
        </w:tc>
        <w:tc>
          <w:tcPr>
            <w:tcW w:w="1793" w:type="dxa"/>
            <w:hideMark/>
          </w:tcPr>
          <w:p w14:paraId="565381FA" w14:textId="3C09008A" w:rsidR="000A6757" w:rsidRPr="0079221E" w:rsidRDefault="00A6407E" w:rsidP="008839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lang w:eastAsia="en-IE"/>
              </w:rPr>
            </w:pPr>
            <w:r w:rsidRPr="007922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 – Extra Social Welfare Allowance</w:t>
            </w:r>
          </w:p>
        </w:tc>
        <w:tc>
          <w:tcPr>
            <w:tcW w:w="1690" w:type="dxa"/>
            <w:hideMark/>
          </w:tcPr>
          <w:p w14:paraId="5CAE42DD" w14:textId="348E320E" w:rsidR="000A6757" w:rsidRPr="00AB1326" w:rsidRDefault="00A6407E" w:rsidP="008839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highlight w:val="yellow"/>
                <w:lang w:eastAsia="en-IE"/>
              </w:rPr>
            </w:pPr>
            <w:r w:rsidRPr="00A6407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Fuel Allowance</w:t>
            </w:r>
          </w:p>
        </w:tc>
        <w:tc>
          <w:tcPr>
            <w:tcW w:w="1145" w:type="dxa"/>
            <w:noWrap/>
            <w:hideMark/>
          </w:tcPr>
          <w:p w14:paraId="2447F978" w14:textId="0E3FC1EE" w:rsidR="000A6757" w:rsidRPr="00AB1326" w:rsidRDefault="00A6407E" w:rsidP="008839F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IE"/>
              </w:rPr>
            </w:pPr>
            <w:r w:rsidRPr="00A64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4,526</w:t>
            </w:r>
          </w:p>
        </w:tc>
        <w:tc>
          <w:tcPr>
            <w:tcW w:w="1275" w:type="dxa"/>
            <w:noWrap/>
            <w:hideMark/>
          </w:tcPr>
          <w:p w14:paraId="783A3A9F" w14:textId="540B1CC4" w:rsidR="000A6757" w:rsidRPr="00AB1326" w:rsidRDefault="00092A66" w:rsidP="008839F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IE"/>
              </w:rPr>
            </w:pPr>
            <w:r w:rsidRPr="00092A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-48.7%</w:t>
            </w:r>
          </w:p>
        </w:tc>
      </w:tr>
      <w:tr w:rsidR="00A6407E" w:rsidRPr="00B12326" w14:paraId="234C1D04" w14:textId="77777777" w:rsidTr="006E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1454AA2D" w14:textId="77777777" w:rsidR="00A6407E" w:rsidRPr="008D5E8F" w:rsidRDefault="00A6407E" w:rsidP="00A6407E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</w:t>
            </w:r>
          </w:p>
        </w:tc>
        <w:tc>
          <w:tcPr>
            <w:tcW w:w="1793" w:type="dxa"/>
            <w:hideMark/>
          </w:tcPr>
          <w:p w14:paraId="0F112CEF" w14:textId="3F381E9C" w:rsidR="00A6407E" w:rsidRPr="0079221E" w:rsidRDefault="00A6407E" w:rsidP="00A640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7922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 - Unemployed People</w:t>
            </w:r>
          </w:p>
        </w:tc>
        <w:tc>
          <w:tcPr>
            <w:tcW w:w="1690" w:type="dxa"/>
            <w:hideMark/>
          </w:tcPr>
          <w:p w14:paraId="20F58339" w14:textId="4D1D9C1D" w:rsidR="00A6407E" w:rsidRPr="00E85BCF" w:rsidRDefault="00A6407E" w:rsidP="00A640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E85BC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Jobseeker's Allowance</w:t>
            </w:r>
          </w:p>
        </w:tc>
        <w:tc>
          <w:tcPr>
            <w:tcW w:w="1145" w:type="dxa"/>
            <w:noWrap/>
            <w:hideMark/>
          </w:tcPr>
          <w:p w14:paraId="05B7F69B" w14:textId="1D6AE2BB" w:rsidR="00A6407E" w:rsidRPr="00E85BCF" w:rsidRDefault="00A6407E" w:rsidP="00A640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E85B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4,</w:t>
            </w:r>
            <w:r w:rsidR="00092A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279</w:t>
            </w:r>
          </w:p>
        </w:tc>
        <w:tc>
          <w:tcPr>
            <w:tcW w:w="1275" w:type="dxa"/>
            <w:noWrap/>
            <w:hideMark/>
          </w:tcPr>
          <w:p w14:paraId="7D7C4410" w14:textId="2CFC054B" w:rsidR="00A6407E" w:rsidRPr="00AB1326" w:rsidRDefault="00092A66" w:rsidP="00A640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IE"/>
              </w:rPr>
            </w:pPr>
            <w:r w:rsidRPr="00092A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-6.4%</w:t>
            </w:r>
          </w:p>
        </w:tc>
      </w:tr>
      <w:tr w:rsidR="00415421" w:rsidRPr="00B12326" w14:paraId="1963859D" w14:textId="77777777" w:rsidTr="006E10B5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3A01D807" w14:textId="77777777" w:rsidR="00415421" w:rsidRPr="008D5E8F" w:rsidRDefault="00415421" w:rsidP="00415421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8</w:t>
            </w:r>
          </w:p>
        </w:tc>
        <w:tc>
          <w:tcPr>
            <w:tcW w:w="1793" w:type="dxa"/>
            <w:hideMark/>
          </w:tcPr>
          <w:p w14:paraId="73C95982" w14:textId="7172D55F" w:rsidR="00415421" w:rsidRPr="0079221E" w:rsidRDefault="00E85BCF" w:rsidP="004154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lang w:eastAsia="en-IE"/>
              </w:rPr>
            </w:pPr>
            <w:r w:rsidRPr="007922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 – Extra Social Welfare Allowance</w:t>
            </w:r>
          </w:p>
        </w:tc>
        <w:tc>
          <w:tcPr>
            <w:tcW w:w="1690" w:type="dxa"/>
            <w:hideMark/>
          </w:tcPr>
          <w:p w14:paraId="0E7BCFAF" w14:textId="464ABEE4" w:rsidR="00415421" w:rsidRPr="00E85BCF" w:rsidRDefault="00E85BCF" w:rsidP="004154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E85B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Household Benefits Scheme</w:t>
            </w:r>
          </w:p>
        </w:tc>
        <w:tc>
          <w:tcPr>
            <w:tcW w:w="1145" w:type="dxa"/>
            <w:noWrap/>
            <w:hideMark/>
          </w:tcPr>
          <w:p w14:paraId="3EDB1F00" w14:textId="01FAF1A3" w:rsidR="00415421" w:rsidRPr="00E85BCF" w:rsidRDefault="00E85BCF" w:rsidP="004154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E85B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4,277</w:t>
            </w:r>
          </w:p>
        </w:tc>
        <w:tc>
          <w:tcPr>
            <w:tcW w:w="1275" w:type="dxa"/>
            <w:noWrap/>
            <w:hideMark/>
          </w:tcPr>
          <w:p w14:paraId="77412634" w14:textId="0885C936" w:rsidR="00415421" w:rsidRPr="00092A66" w:rsidRDefault="00092A66" w:rsidP="004154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92A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-11.9%</w:t>
            </w:r>
          </w:p>
        </w:tc>
      </w:tr>
      <w:tr w:rsidR="00415421" w:rsidRPr="00B12326" w14:paraId="7202003A" w14:textId="77777777" w:rsidTr="006E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1A09A118" w14:textId="77777777" w:rsidR="00415421" w:rsidRPr="008D5E8F" w:rsidRDefault="00415421" w:rsidP="00415421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9</w:t>
            </w:r>
          </w:p>
        </w:tc>
        <w:tc>
          <w:tcPr>
            <w:tcW w:w="1793" w:type="dxa"/>
          </w:tcPr>
          <w:p w14:paraId="7E75CD03" w14:textId="56CFB7AC" w:rsidR="00415421" w:rsidRPr="0079221E" w:rsidRDefault="0079221E" w:rsidP="004154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Housing – Housing Grants and Schemes</w:t>
            </w:r>
          </w:p>
        </w:tc>
        <w:tc>
          <w:tcPr>
            <w:tcW w:w="1690" w:type="dxa"/>
          </w:tcPr>
          <w:p w14:paraId="0846EE3E" w14:textId="427FF4E4" w:rsidR="00415421" w:rsidRPr="0079221E" w:rsidRDefault="0079221E" w:rsidP="004154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79221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Housing Grants and Schemes</w:t>
            </w:r>
          </w:p>
        </w:tc>
        <w:tc>
          <w:tcPr>
            <w:tcW w:w="1145" w:type="dxa"/>
            <w:noWrap/>
          </w:tcPr>
          <w:p w14:paraId="242E87A2" w14:textId="4341F374" w:rsidR="00415421" w:rsidRPr="0079221E" w:rsidRDefault="0079221E" w:rsidP="0041542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7922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3,826</w:t>
            </w:r>
          </w:p>
        </w:tc>
        <w:tc>
          <w:tcPr>
            <w:tcW w:w="1275" w:type="dxa"/>
            <w:noWrap/>
          </w:tcPr>
          <w:p w14:paraId="281613CA" w14:textId="3D91882D" w:rsidR="00415421" w:rsidRPr="0079221E" w:rsidRDefault="0079221E" w:rsidP="0041542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+2.6%</w:t>
            </w:r>
          </w:p>
        </w:tc>
      </w:tr>
      <w:tr w:rsidR="0079221E" w:rsidRPr="000A6757" w14:paraId="31769632" w14:textId="77777777" w:rsidTr="006E10B5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51CF94B9" w14:textId="77777777" w:rsidR="0079221E" w:rsidRPr="008D5E8F" w:rsidRDefault="0079221E" w:rsidP="0079221E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</w:t>
            </w:r>
          </w:p>
        </w:tc>
        <w:tc>
          <w:tcPr>
            <w:tcW w:w="1793" w:type="dxa"/>
          </w:tcPr>
          <w:p w14:paraId="23896D87" w14:textId="55B9AE60" w:rsidR="0079221E" w:rsidRPr="0079221E" w:rsidRDefault="0079221E" w:rsidP="0079221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  <w:lang w:eastAsia="en-IE"/>
              </w:rPr>
            </w:pPr>
            <w:r w:rsidRPr="007922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 – Supplementary Welfare Schemes</w:t>
            </w:r>
          </w:p>
        </w:tc>
        <w:tc>
          <w:tcPr>
            <w:tcW w:w="1690" w:type="dxa"/>
          </w:tcPr>
          <w:p w14:paraId="6A3B923B" w14:textId="357F64CA" w:rsidR="0079221E" w:rsidRPr="00092A66" w:rsidRDefault="0079221E" w:rsidP="0079221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092A6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Basic Supplementary Welfare Allowance</w:t>
            </w:r>
          </w:p>
        </w:tc>
        <w:tc>
          <w:tcPr>
            <w:tcW w:w="1145" w:type="dxa"/>
            <w:noWrap/>
            <w:hideMark/>
          </w:tcPr>
          <w:p w14:paraId="0A65D880" w14:textId="0B529673" w:rsidR="0079221E" w:rsidRPr="00092A66" w:rsidRDefault="0079221E" w:rsidP="0079221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92A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3,686</w:t>
            </w:r>
          </w:p>
        </w:tc>
        <w:tc>
          <w:tcPr>
            <w:tcW w:w="1275" w:type="dxa"/>
            <w:noWrap/>
            <w:hideMark/>
          </w:tcPr>
          <w:p w14:paraId="002F4BAB" w14:textId="2E7617BC" w:rsidR="0079221E" w:rsidRPr="00AB1326" w:rsidRDefault="0079221E" w:rsidP="0079221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IE"/>
              </w:rPr>
            </w:pPr>
            <w:r w:rsidRPr="00092A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-3.5%</w:t>
            </w:r>
          </w:p>
        </w:tc>
      </w:tr>
    </w:tbl>
    <w:p w14:paraId="2F66D8B9" w14:textId="77777777" w:rsidR="000A6757" w:rsidRDefault="000A6757" w:rsidP="00B60276">
      <w:pPr>
        <w:rPr>
          <w:rFonts w:ascii="Calibri" w:hAnsi="Calibri" w:cs="Calibri"/>
        </w:rPr>
        <w:sectPr w:rsidR="000A6757" w:rsidSect="00681F13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673D8A53" w14:textId="028AA834" w:rsidR="00261A00" w:rsidRDefault="00261A00" w:rsidP="000831D6">
      <w:pPr>
        <w:pStyle w:val="Heading1"/>
        <w:rPr>
          <w:b/>
          <w:sz w:val="28"/>
          <w:szCs w:val="28"/>
        </w:rPr>
      </w:pPr>
      <w:r w:rsidRPr="000831D6">
        <w:rPr>
          <w:b/>
          <w:sz w:val="28"/>
          <w:szCs w:val="28"/>
        </w:rPr>
        <w:lastRenderedPageBreak/>
        <w:t>Quarter-on-Quarter Comparison</w:t>
      </w:r>
      <w:r w:rsidR="000A6757">
        <w:rPr>
          <w:b/>
          <w:sz w:val="28"/>
          <w:szCs w:val="28"/>
        </w:rPr>
        <w:t>: what’</w:t>
      </w:r>
      <w:r w:rsidR="000F3F7D">
        <w:rPr>
          <w:b/>
          <w:sz w:val="28"/>
          <w:szCs w:val="28"/>
        </w:rPr>
        <w:t>s new?</w:t>
      </w:r>
      <w:r w:rsidR="00F81FD2">
        <w:rPr>
          <w:rStyle w:val="FootnoteReference"/>
          <w:b/>
          <w:sz w:val="28"/>
          <w:szCs w:val="28"/>
        </w:rPr>
        <w:footnoteReference w:id="2"/>
      </w:r>
    </w:p>
    <w:p w14:paraId="65036AFB" w14:textId="3598E703" w:rsidR="00684A3D" w:rsidRDefault="00243C8E" w:rsidP="00A40E6C">
      <w:pPr>
        <w:rPr>
          <w:rFonts w:ascii="Calibri" w:hAnsi="Calibri" w:cs="Calibri"/>
          <w:lang w:val="en-US"/>
        </w:rPr>
      </w:pPr>
      <w:r w:rsidRPr="00243C8E">
        <w:rPr>
          <w:rFonts w:ascii="Calibri" w:hAnsi="Calibri" w:cs="Calibri"/>
          <w:lang w:val="en-US"/>
        </w:rPr>
        <w:t xml:space="preserve">There was a </w:t>
      </w:r>
      <w:r w:rsidR="00CF5FB2">
        <w:rPr>
          <w:rFonts w:ascii="Calibri" w:hAnsi="Calibri" w:cs="Calibri"/>
          <w:lang w:val="en-US"/>
        </w:rPr>
        <w:t xml:space="preserve">drop </w:t>
      </w:r>
      <w:r w:rsidRPr="00ED0D5E">
        <w:rPr>
          <w:rFonts w:ascii="Calibri" w:hAnsi="Calibri" w:cs="Calibri"/>
          <w:b/>
          <w:lang w:val="en-US"/>
        </w:rPr>
        <w:t>in Social Welfare</w:t>
      </w:r>
      <w:r w:rsidR="00B90E4D" w:rsidRPr="00ED0D5E">
        <w:rPr>
          <w:rFonts w:ascii="Calibri" w:hAnsi="Calibri" w:cs="Calibri"/>
          <w:b/>
          <w:lang w:val="en-US"/>
        </w:rPr>
        <w:t xml:space="preserve"> (SW)</w:t>
      </w:r>
      <w:r w:rsidR="00570DAA">
        <w:rPr>
          <w:rFonts w:ascii="Calibri" w:hAnsi="Calibri" w:cs="Calibri"/>
          <w:b/>
          <w:lang w:val="en-US"/>
        </w:rPr>
        <w:t xml:space="preserve"> related</w:t>
      </w:r>
      <w:r w:rsidRPr="00ED0D5E">
        <w:rPr>
          <w:rFonts w:ascii="Calibri" w:hAnsi="Calibri" w:cs="Calibri"/>
          <w:b/>
          <w:lang w:val="en-US"/>
        </w:rPr>
        <w:t xml:space="preserve"> </w:t>
      </w:r>
      <w:r w:rsidR="00B90E4D" w:rsidRPr="00ED0D5E">
        <w:rPr>
          <w:rFonts w:ascii="Calibri" w:hAnsi="Calibri" w:cs="Calibri"/>
          <w:b/>
          <w:lang w:val="en-US"/>
        </w:rPr>
        <w:t>q</w:t>
      </w:r>
      <w:r w:rsidRPr="00ED0D5E">
        <w:rPr>
          <w:rFonts w:ascii="Calibri" w:hAnsi="Calibri" w:cs="Calibri"/>
          <w:b/>
          <w:lang w:val="en-US"/>
        </w:rPr>
        <w:t>ueries</w:t>
      </w:r>
      <w:r w:rsidRPr="00243C8E">
        <w:rPr>
          <w:rFonts w:ascii="Calibri" w:hAnsi="Calibri" w:cs="Calibri"/>
          <w:lang w:val="en-US"/>
        </w:rPr>
        <w:t xml:space="preserve"> in </w:t>
      </w:r>
      <w:r>
        <w:rPr>
          <w:rFonts w:ascii="Calibri" w:hAnsi="Calibri" w:cs="Calibri"/>
          <w:lang w:val="en-US"/>
        </w:rPr>
        <w:t xml:space="preserve">Q1 2024, </w:t>
      </w:r>
      <w:r w:rsidR="00CF5FB2">
        <w:rPr>
          <w:rFonts w:ascii="Calibri" w:hAnsi="Calibri" w:cs="Calibri"/>
          <w:lang w:val="en-US"/>
        </w:rPr>
        <w:t xml:space="preserve">down </w:t>
      </w:r>
      <w:r>
        <w:rPr>
          <w:rFonts w:ascii="Calibri" w:hAnsi="Calibri" w:cs="Calibri"/>
          <w:lang w:val="en-US"/>
        </w:rPr>
        <w:t xml:space="preserve">11.7% </w:t>
      </w:r>
      <w:r w:rsidR="009B1921">
        <w:rPr>
          <w:rFonts w:ascii="Calibri" w:hAnsi="Calibri" w:cs="Calibri"/>
          <w:lang w:val="en-US"/>
        </w:rPr>
        <w:t xml:space="preserve">(from 102,787 queries in Q1 2023 to 90,772 queries in Q1 2024). </w:t>
      </w:r>
    </w:p>
    <w:p w14:paraId="1D76A794" w14:textId="35519F4B" w:rsidR="00A40E6C" w:rsidRDefault="009B1921" w:rsidP="00A40E6C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Most </w:t>
      </w:r>
      <w:r w:rsidR="00B90E4D">
        <w:rPr>
          <w:rFonts w:ascii="Calibri" w:hAnsi="Calibri" w:cs="Calibri"/>
          <w:lang w:val="en-US"/>
        </w:rPr>
        <w:t xml:space="preserve">SW </w:t>
      </w:r>
      <w:r>
        <w:rPr>
          <w:rFonts w:ascii="Calibri" w:hAnsi="Calibri" w:cs="Calibri"/>
          <w:lang w:val="en-US"/>
        </w:rPr>
        <w:t xml:space="preserve">areas had some sort of decline, but </w:t>
      </w:r>
      <w:r w:rsidRPr="00001E54">
        <w:rPr>
          <w:rFonts w:ascii="Calibri" w:hAnsi="Calibri" w:cs="Calibri"/>
          <w:lang w:val="en-US"/>
        </w:rPr>
        <w:t>Extra Social Welfare Benefit</w:t>
      </w:r>
      <w:r>
        <w:rPr>
          <w:rFonts w:ascii="Calibri" w:hAnsi="Calibri" w:cs="Calibri"/>
          <w:lang w:val="en-US"/>
        </w:rPr>
        <w:t xml:space="preserve"> queries saw a 31% decrease.</w:t>
      </w:r>
    </w:p>
    <w:p w14:paraId="67C32CE8" w14:textId="2662D8E8" w:rsidR="00684A3D" w:rsidRDefault="00684A3D" w:rsidP="00684A3D">
      <w:pPr>
        <w:pStyle w:val="ListParagraph"/>
        <w:numPr>
          <w:ilvl w:val="0"/>
          <w:numId w:val="1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Fuel Allowance queries nearly halved (8,819 to 4,526 queries)</w:t>
      </w:r>
      <w:r w:rsidR="00C34B69">
        <w:rPr>
          <w:rFonts w:ascii="Calibri" w:hAnsi="Calibri" w:cs="Calibri"/>
          <w:lang w:val="en-US"/>
        </w:rPr>
        <w:t xml:space="preserve"> – this may reflect the end of the annual period of payment for the </w:t>
      </w:r>
      <w:r w:rsidR="001F3353">
        <w:rPr>
          <w:rFonts w:ascii="Calibri" w:hAnsi="Calibri" w:cs="Calibri"/>
          <w:lang w:val="en-US"/>
        </w:rPr>
        <w:t>allowance.</w:t>
      </w:r>
    </w:p>
    <w:p w14:paraId="00EF9EF4" w14:textId="444F0B36" w:rsidR="00684A3D" w:rsidRPr="00684A3D" w:rsidRDefault="00684A3D" w:rsidP="00684A3D">
      <w:pPr>
        <w:pStyle w:val="ListParagraph"/>
        <w:numPr>
          <w:ilvl w:val="0"/>
          <w:numId w:val="1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Household Benefits Package queries </w:t>
      </w:r>
      <w:r w:rsidR="00B90E4D">
        <w:rPr>
          <w:rFonts w:ascii="Calibri" w:hAnsi="Calibri" w:cs="Calibri"/>
          <w:lang w:val="en-US"/>
        </w:rPr>
        <w:t xml:space="preserve">decreased </w:t>
      </w:r>
      <w:r>
        <w:rPr>
          <w:rFonts w:ascii="Calibri" w:hAnsi="Calibri" w:cs="Calibri"/>
          <w:lang w:val="en-US"/>
        </w:rPr>
        <w:t>by 11.9% (4,855 to 4,277 queries).</w:t>
      </w:r>
    </w:p>
    <w:p w14:paraId="05A621C6" w14:textId="7B94EA90" w:rsidR="009B1921" w:rsidRDefault="00684A3D" w:rsidP="00A40E6C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Disability and Illness (D&amp;I) queries w</w:t>
      </w:r>
      <w:r w:rsidR="002C4588">
        <w:rPr>
          <w:rFonts w:ascii="Calibri" w:hAnsi="Calibri" w:cs="Calibri"/>
          <w:lang w:val="en-US"/>
        </w:rPr>
        <w:t>as</w:t>
      </w:r>
      <w:r>
        <w:rPr>
          <w:rFonts w:ascii="Calibri" w:hAnsi="Calibri" w:cs="Calibri"/>
          <w:lang w:val="en-US"/>
        </w:rPr>
        <w:t xml:space="preserve"> the most queried sub-category under social welfare and accounted for 15.7% of queries.</w:t>
      </w:r>
    </w:p>
    <w:p w14:paraId="6A05CAEF" w14:textId="45E328DE" w:rsidR="00684A3D" w:rsidRDefault="00684A3D" w:rsidP="00684A3D">
      <w:pPr>
        <w:pStyle w:val="ListParagraph"/>
        <w:numPr>
          <w:ilvl w:val="0"/>
          <w:numId w:val="1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D&amp;I queries </w:t>
      </w:r>
      <w:r w:rsidR="009B6FF8">
        <w:rPr>
          <w:rFonts w:ascii="Calibri" w:hAnsi="Calibri" w:cs="Calibri"/>
          <w:lang w:val="en-US"/>
        </w:rPr>
        <w:t>also saw a drop --</w:t>
      </w:r>
      <w:r>
        <w:rPr>
          <w:rFonts w:ascii="Calibri" w:hAnsi="Calibri" w:cs="Calibri"/>
          <w:lang w:val="en-US"/>
        </w:rPr>
        <w:t>by 7.7% (15,476 to 14,283)</w:t>
      </w:r>
    </w:p>
    <w:p w14:paraId="379542A5" w14:textId="34DB96C5" w:rsidR="00684A3D" w:rsidRDefault="00684A3D" w:rsidP="00684A3D">
      <w:pPr>
        <w:pStyle w:val="ListParagraph"/>
        <w:numPr>
          <w:ilvl w:val="1"/>
          <w:numId w:val="1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Disability Allowance queries declined by 5% (7,259 to 6,899)</w:t>
      </w:r>
      <w:r w:rsidR="00C34B69">
        <w:rPr>
          <w:rFonts w:ascii="Calibri" w:hAnsi="Calibri" w:cs="Calibri"/>
          <w:lang w:val="en-US"/>
        </w:rPr>
        <w:t xml:space="preserve"> – remains the top payment in this category</w:t>
      </w:r>
      <w:r>
        <w:rPr>
          <w:rFonts w:ascii="Calibri" w:hAnsi="Calibri" w:cs="Calibri"/>
          <w:lang w:val="en-US"/>
        </w:rPr>
        <w:t>.</w:t>
      </w:r>
    </w:p>
    <w:p w14:paraId="6DA05863" w14:textId="36A3B121" w:rsidR="00684A3D" w:rsidRDefault="00684A3D" w:rsidP="00684A3D">
      <w:pPr>
        <w:pStyle w:val="ListParagraph"/>
        <w:numPr>
          <w:ilvl w:val="1"/>
          <w:numId w:val="1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Illness </w:t>
      </w:r>
      <w:r w:rsidR="00AE3F23">
        <w:rPr>
          <w:rFonts w:ascii="Calibri" w:hAnsi="Calibri" w:cs="Calibri"/>
          <w:lang w:val="en-US"/>
        </w:rPr>
        <w:t>benefit</w:t>
      </w:r>
      <w:r w:rsidR="00860AD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queries </w:t>
      </w:r>
      <w:r w:rsidR="009B6FF8">
        <w:rPr>
          <w:rFonts w:ascii="Calibri" w:hAnsi="Calibri" w:cs="Calibri"/>
          <w:lang w:val="en-US"/>
        </w:rPr>
        <w:t xml:space="preserve">reduced </w:t>
      </w:r>
      <w:r>
        <w:rPr>
          <w:rFonts w:ascii="Calibri" w:hAnsi="Calibri" w:cs="Calibri"/>
          <w:lang w:val="en-US"/>
        </w:rPr>
        <w:t>by 8.4% (3,854 to 3,531)</w:t>
      </w:r>
    </w:p>
    <w:p w14:paraId="70945D76" w14:textId="40CF08B8" w:rsidR="00684A3D" w:rsidRPr="00C34B69" w:rsidRDefault="00684A3D" w:rsidP="00684A3D">
      <w:pPr>
        <w:pStyle w:val="ListParagraph"/>
        <w:numPr>
          <w:ilvl w:val="1"/>
          <w:numId w:val="12"/>
        </w:numPr>
        <w:rPr>
          <w:rFonts w:ascii="Calibri" w:hAnsi="Calibri" w:cs="Calibri"/>
          <w:lang w:val="en-US"/>
        </w:rPr>
      </w:pPr>
      <w:r w:rsidRPr="00C34B69">
        <w:rPr>
          <w:rFonts w:ascii="Calibri" w:hAnsi="Calibri" w:cs="Calibri"/>
          <w:lang w:val="en-US"/>
        </w:rPr>
        <w:t xml:space="preserve">Invalidity Pension queries </w:t>
      </w:r>
      <w:r w:rsidR="009B6FF8">
        <w:rPr>
          <w:rFonts w:ascii="Calibri" w:hAnsi="Calibri" w:cs="Calibri"/>
          <w:lang w:val="en-US"/>
        </w:rPr>
        <w:t xml:space="preserve">dropped </w:t>
      </w:r>
      <w:r w:rsidRPr="00C34B69">
        <w:rPr>
          <w:rFonts w:ascii="Calibri" w:hAnsi="Calibri" w:cs="Calibri"/>
          <w:lang w:val="en-US"/>
        </w:rPr>
        <w:t>by 12.7% (3,228 to 2,817).</w:t>
      </w:r>
    </w:p>
    <w:p w14:paraId="4972C579" w14:textId="1F9B62B3" w:rsidR="00243C8E" w:rsidRDefault="00684A3D" w:rsidP="00A40E6C">
      <w:pPr>
        <w:rPr>
          <w:rFonts w:ascii="Calibri" w:hAnsi="Calibri" w:cs="Calibri"/>
          <w:lang w:val="en-US"/>
        </w:rPr>
      </w:pPr>
      <w:r w:rsidRPr="00ED0D5E">
        <w:rPr>
          <w:rFonts w:ascii="Calibri" w:hAnsi="Calibri" w:cs="Calibri"/>
          <w:b/>
          <w:lang w:val="en-US"/>
        </w:rPr>
        <w:t>Housing queries</w:t>
      </w:r>
      <w:r>
        <w:rPr>
          <w:rFonts w:ascii="Calibri" w:hAnsi="Calibri" w:cs="Calibri"/>
          <w:lang w:val="en-US"/>
        </w:rPr>
        <w:t xml:space="preserve"> which usually increase significantly from quarter to quarter and year to year remained</w:t>
      </w:r>
      <w:r w:rsidR="00B90E4D">
        <w:rPr>
          <w:rFonts w:ascii="Calibri" w:hAnsi="Calibri" w:cs="Calibri"/>
          <w:lang w:val="en-US"/>
        </w:rPr>
        <w:t xml:space="preserve"> </w:t>
      </w:r>
      <w:r w:rsidR="00ED0D5E">
        <w:rPr>
          <w:rFonts w:ascii="Calibri" w:hAnsi="Calibri" w:cs="Calibri"/>
          <w:lang w:val="en-US"/>
        </w:rPr>
        <w:t>at a</w:t>
      </w:r>
      <w:r>
        <w:rPr>
          <w:rFonts w:ascii="Calibri" w:hAnsi="Calibri" w:cs="Calibri"/>
          <w:lang w:val="en-US"/>
        </w:rPr>
        <w:t xml:space="preserve"> similar level to Q1 2023.</w:t>
      </w:r>
    </w:p>
    <w:p w14:paraId="2B59C984" w14:textId="7DEE845F" w:rsidR="00684A3D" w:rsidRDefault="00684A3D" w:rsidP="00A40E6C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Health queries increased by 3.6% (16,420</w:t>
      </w:r>
      <w:r w:rsidR="006E10B5">
        <w:rPr>
          <w:rFonts w:ascii="Calibri" w:hAnsi="Calibri" w:cs="Calibri"/>
          <w:lang w:val="en-US"/>
        </w:rPr>
        <w:t xml:space="preserve"> to 17,019).</w:t>
      </w:r>
    </w:p>
    <w:p w14:paraId="7263F196" w14:textId="6F5E0A99" w:rsidR="006E10B5" w:rsidRDefault="006E10B5" w:rsidP="006E10B5">
      <w:pPr>
        <w:pStyle w:val="ListParagraph"/>
        <w:numPr>
          <w:ilvl w:val="0"/>
          <w:numId w:val="1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Medical card queries increased by 7.1% (10,251 to 10,974)</w:t>
      </w:r>
      <w:r w:rsidR="00FE5664">
        <w:rPr>
          <w:rFonts w:ascii="Calibri" w:hAnsi="Calibri" w:cs="Calibri"/>
          <w:lang w:val="en-US"/>
        </w:rPr>
        <w:t xml:space="preserve"> and</w:t>
      </w:r>
      <w:r w:rsidR="00A8699E">
        <w:rPr>
          <w:rFonts w:ascii="Calibri" w:hAnsi="Calibri" w:cs="Calibri"/>
          <w:lang w:val="en-US"/>
        </w:rPr>
        <w:t xml:space="preserve"> continues to be the highest queried individual scheme or </w:t>
      </w:r>
      <w:r w:rsidR="00ED0D5E">
        <w:rPr>
          <w:rFonts w:ascii="Calibri" w:hAnsi="Calibri" w:cs="Calibri"/>
          <w:lang w:val="en-US"/>
        </w:rPr>
        <w:t>payment.</w:t>
      </w:r>
    </w:p>
    <w:p w14:paraId="5BD4877B" w14:textId="323950BC" w:rsidR="006E10B5" w:rsidRPr="006E10B5" w:rsidRDefault="006E10B5" w:rsidP="006E10B5">
      <w:pPr>
        <w:pStyle w:val="ListParagraph"/>
        <w:numPr>
          <w:ilvl w:val="0"/>
          <w:numId w:val="1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Fair Deal &amp; Home Care Package queries decreased by 11.9% (1,139 to 1,004)</w:t>
      </w:r>
    </w:p>
    <w:p w14:paraId="7BDD92B0" w14:textId="199483FE" w:rsidR="00A40E6C" w:rsidRDefault="00A40E6C" w:rsidP="00A40E6C">
      <w:pPr>
        <w:rPr>
          <w:rFonts w:ascii="Calibri" w:hAnsi="Calibri" w:cs="Calibri"/>
          <w:lang w:val="en-US"/>
        </w:rPr>
      </w:pPr>
      <w:r w:rsidRPr="00A40E6C">
        <w:rPr>
          <w:rFonts w:ascii="Calibri" w:hAnsi="Calibri" w:cs="Calibri"/>
          <w:lang w:val="en-US"/>
        </w:rPr>
        <w:t xml:space="preserve">Money and Tax queries </w:t>
      </w:r>
      <w:r>
        <w:rPr>
          <w:rFonts w:ascii="Calibri" w:hAnsi="Calibri" w:cs="Calibri"/>
          <w:lang w:val="en-US"/>
        </w:rPr>
        <w:t>declined by 6.9% from 14,768 to 13,750 queries.</w:t>
      </w:r>
    </w:p>
    <w:p w14:paraId="12EBE648" w14:textId="1D141DC8" w:rsidR="00A40E6C" w:rsidRDefault="00A40E6C" w:rsidP="00A40E6C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Income Tax Credits and Reliefs decreased by 16.1% (3,330 queries)</w:t>
      </w:r>
    </w:p>
    <w:p w14:paraId="20AA26E3" w14:textId="401E9AD9" w:rsidR="00A40E6C" w:rsidRDefault="00A40E6C" w:rsidP="00A40E6C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Income Tax Refund queries increased by 14.5% (1,285 queries).</w:t>
      </w:r>
    </w:p>
    <w:p w14:paraId="0A324079" w14:textId="16761A2F" w:rsidR="00A40E6C" w:rsidRDefault="00A40E6C" w:rsidP="00A40E6C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Employment queries decreased by 10.3% (12,415 queries).</w:t>
      </w:r>
    </w:p>
    <w:p w14:paraId="60532CC7" w14:textId="196BAFE6" w:rsidR="00057D7F" w:rsidRDefault="00057D7F" w:rsidP="00057D7F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Employment rights and conditions queries decreased by 13.4% (7,445 queries).</w:t>
      </w:r>
    </w:p>
    <w:p w14:paraId="01B111D3" w14:textId="498A0310" w:rsidR="00057D7F" w:rsidRDefault="00057D7F" w:rsidP="00057D7F">
      <w:pPr>
        <w:pStyle w:val="ListParagraph"/>
        <w:numPr>
          <w:ilvl w:val="1"/>
          <w:numId w:val="1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Queries relating to </w:t>
      </w:r>
      <w:r w:rsidR="00570DAA">
        <w:rPr>
          <w:rFonts w:ascii="Calibri" w:hAnsi="Calibri" w:cs="Calibri"/>
          <w:lang w:val="en-US"/>
        </w:rPr>
        <w:t>c</w:t>
      </w:r>
      <w:r>
        <w:rPr>
          <w:rFonts w:ascii="Calibri" w:hAnsi="Calibri" w:cs="Calibri"/>
          <w:lang w:val="en-US"/>
        </w:rPr>
        <w:t xml:space="preserve">ontracts of employment </w:t>
      </w:r>
      <w:r w:rsidR="00A8699E">
        <w:rPr>
          <w:rFonts w:ascii="Calibri" w:hAnsi="Calibri" w:cs="Calibri"/>
          <w:lang w:val="en-US"/>
        </w:rPr>
        <w:t xml:space="preserve">dropped </w:t>
      </w:r>
      <w:r>
        <w:rPr>
          <w:rFonts w:ascii="Calibri" w:hAnsi="Calibri" w:cs="Calibri"/>
          <w:lang w:val="en-US"/>
        </w:rPr>
        <w:t>by 17% (1,185 queries).</w:t>
      </w:r>
    </w:p>
    <w:p w14:paraId="06D67D3B" w14:textId="4EA4584D" w:rsidR="00057D7F" w:rsidRDefault="00057D7F" w:rsidP="00057D7F">
      <w:pPr>
        <w:pStyle w:val="ListParagraph"/>
        <w:numPr>
          <w:ilvl w:val="1"/>
          <w:numId w:val="1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Leave and holidays queries have declined by </w:t>
      </w:r>
      <w:r w:rsidR="00A8699E">
        <w:rPr>
          <w:rFonts w:ascii="Calibri" w:hAnsi="Calibri" w:cs="Calibri"/>
          <w:lang w:val="en-US"/>
        </w:rPr>
        <w:t xml:space="preserve">over </w:t>
      </w:r>
      <w:r>
        <w:rPr>
          <w:rFonts w:ascii="Calibri" w:hAnsi="Calibri" w:cs="Calibri"/>
          <w:lang w:val="en-US"/>
        </w:rPr>
        <w:t>30% (1,140 queries).</w:t>
      </w:r>
    </w:p>
    <w:p w14:paraId="2673BF90" w14:textId="37047CB1" w:rsidR="00057D7F" w:rsidRDefault="00057D7F" w:rsidP="00057D7F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Birth, Family and Relationships</w:t>
      </w:r>
      <w:r w:rsidR="009B6FF8">
        <w:rPr>
          <w:rFonts w:ascii="Calibri" w:hAnsi="Calibri" w:cs="Calibri"/>
          <w:lang w:val="en-US"/>
        </w:rPr>
        <w:t xml:space="preserve"> queries</w:t>
      </w:r>
      <w:r>
        <w:rPr>
          <w:rFonts w:ascii="Calibri" w:hAnsi="Calibri" w:cs="Calibri"/>
          <w:lang w:val="en-US"/>
        </w:rPr>
        <w:t xml:space="preserve"> decreased by 9% (4,619 queries).</w:t>
      </w:r>
    </w:p>
    <w:p w14:paraId="32484C95" w14:textId="29961B57" w:rsidR="00057D7F" w:rsidRDefault="007A0B1F" w:rsidP="00057D7F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Queries relating to separation and divorce declined by 16.5% (1,329 queries).</w:t>
      </w:r>
    </w:p>
    <w:p w14:paraId="65023F20" w14:textId="22F507F2" w:rsidR="007A0B1F" w:rsidRDefault="007A0B1F" w:rsidP="00057D7F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Maintenance queries fell by 21.1% (591 queries).</w:t>
      </w:r>
    </w:p>
    <w:p w14:paraId="7F20C932" w14:textId="690065B4" w:rsidR="00106D92" w:rsidRDefault="00106D92" w:rsidP="00106D92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Consumer Affairs queries declined by 11.1% (2,993 queries)</w:t>
      </w:r>
    </w:p>
    <w:p w14:paraId="58C6BAED" w14:textId="31FBE7A2" w:rsidR="00106D92" w:rsidRDefault="00106D92" w:rsidP="00106D92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Consumer </w:t>
      </w:r>
      <w:r w:rsidR="00FE5664">
        <w:rPr>
          <w:rFonts w:ascii="Calibri" w:hAnsi="Calibri" w:cs="Calibri"/>
          <w:lang w:val="en-US"/>
        </w:rPr>
        <w:t>protection</w:t>
      </w:r>
      <w:r>
        <w:rPr>
          <w:rFonts w:ascii="Calibri" w:hAnsi="Calibri" w:cs="Calibri"/>
          <w:lang w:val="en-US"/>
        </w:rPr>
        <w:t xml:space="preserve"> queries decreased by 23.6% (623 queries).</w:t>
      </w:r>
    </w:p>
    <w:p w14:paraId="1363D5D3" w14:textId="678B86BE" w:rsidR="00106D92" w:rsidRDefault="00106D92" w:rsidP="00106D92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Queries </w:t>
      </w:r>
      <w:r w:rsidR="00AE3F23">
        <w:rPr>
          <w:rFonts w:ascii="Calibri" w:hAnsi="Calibri" w:cs="Calibri"/>
          <w:lang w:val="en-US"/>
        </w:rPr>
        <w:t xml:space="preserve">regarding </w:t>
      </w:r>
      <w:r>
        <w:rPr>
          <w:rFonts w:ascii="Calibri" w:hAnsi="Calibri" w:cs="Calibri"/>
          <w:lang w:val="en-US"/>
        </w:rPr>
        <w:t>energy/utilities services declined by 19.5% (573 queries).</w:t>
      </w:r>
    </w:p>
    <w:p w14:paraId="41375349" w14:textId="630DA47C" w:rsidR="00106D92" w:rsidRDefault="00106D92" w:rsidP="00106D92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Government in Ireland queries </w:t>
      </w:r>
      <w:r w:rsidRPr="00972FE7">
        <w:rPr>
          <w:rFonts w:ascii="Calibri" w:hAnsi="Calibri" w:cs="Calibri"/>
          <w:i/>
          <w:lang w:val="en-US"/>
        </w:rPr>
        <w:t>increased</w:t>
      </w:r>
      <w:r>
        <w:rPr>
          <w:rFonts w:ascii="Calibri" w:hAnsi="Calibri" w:cs="Calibri"/>
          <w:lang w:val="en-US"/>
        </w:rPr>
        <w:t xml:space="preserve"> by 36.1% (1,665 queries)</w:t>
      </w:r>
      <w:r w:rsidR="00243C8E">
        <w:rPr>
          <w:rFonts w:ascii="Calibri" w:hAnsi="Calibri" w:cs="Calibri"/>
          <w:lang w:val="en-US"/>
        </w:rPr>
        <w:t>.</w:t>
      </w:r>
    </w:p>
    <w:p w14:paraId="57130978" w14:textId="1B82F581" w:rsidR="00243C8E" w:rsidRDefault="00243C8E" w:rsidP="00243C8E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Queries relating to MyGovID increased by 30% (494 queries).</w:t>
      </w:r>
    </w:p>
    <w:p w14:paraId="4A7DA1D4" w14:textId="618E4A7E" w:rsidR="00243C8E" w:rsidRPr="00243C8E" w:rsidRDefault="00243C8E" w:rsidP="00243C8E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Queries relating to Election</w:t>
      </w:r>
      <w:r w:rsidR="009B6FF8">
        <w:rPr>
          <w:rFonts w:ascii="Calibri" w:hAnsi="Calibri" w:cs="Calibri"/>
          <w:lang w:val="en-US"/>
        </w:rPr>
        <w:t>s</w:t>
      </w:r>
      <w:r>
        <w:rPr>
          <w:rFonts w:ascii="Calibri" w:hAnsi="Calibri" w:cs="Calibri"/>
          <w:lang w:val="en-US"/>
        </w:rPr>
        <w:t xml:space="preserve"> and Referenda increased significantly from 14 to 326 queries, due to the family and care referendum which took place in March.</w:t>
      </w:r>
    </w:p>
    <w:p w14:paraId="6BAD5A60" w14:textId="20538B34" w:rsidR="00280463" w:rsidRDefault="00251C37" w:rsidP="00972F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CISs </w:t>
      </w:r>
      <w:r w:rsidR="009B6FF8">
        <w:rPr>
          <w:rFonts w:ascii="Calibri" w:hAnsi="Calibri" w:cs="Calibri"/>
        </w:rPr>
        <w:t>classify each query according to the type of action or intervention required to respond to that query.</w:t>
      </w:r>
      <w:r w:rsidR="00972FE7">
        <w:rPr>
          <w:rFonts w:ascii="Calibri" w:hAnsi="Calibri" w:cs="Calibri"/>
        </w:rPr>
        <w:t xml:space="preserve"> </w:t>
      </w:r>
      <w:r w:rsidR="009B6FF8">
        <w:rPr>
          <w:rFonts w:ascii="Calibri" w:hAnsi="Calibri" w:cs="Calibri"/>
        </w:rPr>
        <w:t xml:space="preserve">Queries are defined as </w:t>
      </w:r>
      <w:r>
        <w:rPr>
          <w:rFonts w:ascii="Calibri" w:hAnsi="Calibri" w:cs="Calibri"/>
        </w:rPr>
        <w:t xml:space="preserve">either Information, </w:t>
      </w:r>
      <w:r w:rsidR="009B6FF8">
        <w:rPr>
          <w:rFonts w:ascii="Calibri" w:hAnsi="Calibri" w:cs="Calibri"/>
        </w:rPr>
        <w:t xml:space="preserve">Advice/Assistance or </w:t>
      </w:r>
      <w:r>
        <w:rPr>
          <w:rFonts w:ascii="Calibri" w:hAnsi="Calibri" w:cs="Calibri"/>
        </w:rPr>
        <w:t>Advocacy. In Q1 2024</w:t>
      </w:r>
      <w:r w:rsidR="009B6FF8">
        <w:rPr>
          <w:rFonts w:ascii="Calibri" w:hAnsi="Calibri" w:cs="Calibri"/>
        </w:rPr>
        <w:t xml:space="preserve">the majority, almost two thirds of all queries were classed as Advice/Assistance (126,812), </w:t>
      </w:r>
      <w:r w:rsidR="00AA1981">
        <w:rPr>
          <w:rFonts w:ascii="Calibri" w:hAnsi="Calibri" w:cs="Calibri"/>
        </w:rPr>
        <w:t>38.0</w:t>
      </w:r>
      <w:r>
        <w:rPr>
          <w:rFonts w:ascii="Calibri" w:hAnsi="Calibri" w:cs="Calibri"/>
        </w:rPr>
        <w:t>% were classe</w:t>
      </w:r>
      <w:r w:rsidR="00AA1981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as Information</w:t>
      </w:r>
      <w:r w:rsidR="00AA1981">
        <w:rPr>
          <w:rFonts w:ascii="Calibri" w:hAnsi="Calibri" w:cs="Calibri"/>
        </w:rPr>
        <w:t xml:space="preserve"> (78,558)</w:t>
      </w:r>
      <w:r w:rsidR="00280463">
        <w:rPr>
          <w:rFonts w:ascii="Calibri" w:hAnsi="Calibri" w:cs="Calibri"/>
        </w:rPr>
        <w:t xml:space="preserve"> and 0.6% were ranked as Advocacy</w:t>
      </w:r>
      <w:r>
        <w:rPr>
          <w:rFonts w:ascii="Calibri" w:hAnsi="Calibri" w:cs="Calibri"/>
        </w:rPr>
        <w:t>.</w:t>
      </w:r>
      <w:r w:rsidR="00AA1981">
        <w:rPr>
          <w:rFonts w:ascii="Calibri" w:hAnsi="Calibri" w:cs="Calibri"/>
        </w:rPr>
        <w:t xml:space="preserve"> </w:t>
      </w:r>
    </w:p>
    <w:p w14:paraId="1AA8C166" w14:textId="141C2C3F" w:rsidR="00251C37" w:rsidRPr="00AA1981" w:rsidRDefault="00251C37" w:rsidP="00AA1981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AA1981">
        <w:rPr>
          <w:rFonts w:eastAsia="Times New Roman"/>
          <w:b/>
          <w:sz w:val="24"/>
          <w:szCs w:val="24"/>
          <w:lang w:eastAsia="en-IE"/>
        </w:rPr>
        <w:t>Table</w:t>
      </w:r>
      <w:r w:rsidR="003D0788">
        <w:rPr>
          <w:rFonts w:eastAsia="Times New Roman"/>
          <w:b/>
          <w:sz w:val="24"/>
          <w:szCs w:val="24"/>
          <w:lang w:eastAsia="en-IE"/>
        </w:rPr>
        <w:t xml:space="preserve"> 9</w:t>
      </w:r>
      <w:r w:rsidRPr="00AA1981">
        <w:rPr>
          <w:rFonts w:eastAsia="Times New Roman"/>
          <w:b/>
          <w:sz w:val="24"/>
          <w:szCs w:val="24"/>
          <w:lang w:eastAsia="en-IE"/>
        </w:rPr>
        <w:t>: Types of advice/assistance Quarter 1 2024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6974"/>
        <w:gridCol w:w="1668"/>
      </w:tblGrid>
      <w:tr w:rsidR="00251C37" w14:paraId="03F66A11" w14:textId="77777777" w:rsidTr="00251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ED7D1A2" w14:textId="2B0FE1EE" w:rsidR="00251C37" w:rsidRDefault="00251C37" w:rsidP="00251C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Advice/Assistance</w:t>
            </w:r>
          </w:p>
        </w:tc>
        <w:tc>
          <w:tcPr>
            <w:tcW w:w="1668" w:type="dxa"/>
          </w:tcPr>
          <w:p w14:paraId="2891FF28" w14:textId="043B59FF" w:rsidR="00251C37" w:rsidRDefault="00FA5136" w:rsidP="00251C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Action</w:t>
            </w:r>
            <w:r w:rsidR="00251C37">
              <w:rPr>
                <w:rFonts w:ascii="Calibri" w:hAnsi="Calibri" w:cs="Calibri"/>
                <w:color w:val="000000"/>
              </w:rPr>
              <w:t xml:space="preserve"> Numbers</w:t>
            </w:r>
          </w:p>
        </w:tc>
      </w:tr>
      <w:tr w:rsidR="00251C37" w14:paraId="23D07D9E" w14:textId="77777777" w:rsidTr="00251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F4FBB0F" w14:textId="12E5A6B0" w:rsidR="00251C37" w:rsidRPr="00AA1981" w:rsidRDefault="00251C37" w:rsidP="00251C37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AA198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Explored options</w:t>
            </w:r>
          </w:p>
        </w:tc>
        <w:tc>
          <w:tcPr>
            <w:tcW w:w="1668" w:type="dxa"/>
          </w:tcPr>
          <w:p w14:paraId="50C800B8" w14:textId="0F386A42" w:rsidR="00251C37" w:rsidRDefault="00251C37" w:rsidP="00AA1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78,028</w:t>
            </w:r>
          </w:p>
        </w:tc>
      </w:tr>
      <w:tr w:rsidR="00251C37" w14:paraId="0FC3E0D9" w14:textId="77777777" w:rsidTr="00251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06FEA06" w14:textId="33BDE6AB" w:rsidR="00251C37" w:rsidRPr="00AA1981" w:rsidRDefault="00251C37" w:rsidP="00251C37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AA198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Clarification of rules and eligibility based on clients’ personal circumstances</w:t>
            </w:r>
          </w:p>
        </w:tc>
        <w:tc>
          <w:tcPr>
            <w:tcW w:w="1668" w:type="dxa"/>
          </w:tcPr>
          <w:p w14:paraId="30719091" w14:textId="7D8F1A32" w:rsidR="00251C37" w:rsidRDefault="00251C37" w:rsidP="00AA1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35,687</w:t>
            </w:r>
          </w:p>
        </w:tc>
      </w:tr>
      <w:tr w:rsidR="00251C37" w14:paraId="16B8783F" w14:textId="77777777" w:rsidTr="00251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89593F6" w14:textId="75ECEA99" w:rsidR="00251C37" w:rsidRPr="00AA1981" w:rsidRDefault="00251C37" w:rsidP="00251C37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AA198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Filled in form with caller</w:t>
            </w:r>
          </w:p>
        </w:tc>
        <w:tc>
          <w:tcPr>
            <w:tcW w:w="1668" w:type="dxa"/>
          </w:tcPr>
          <w:p w14:paraId="4D5A27DF" w14:textId="1CF0D8DC" w:rsidR="00251C37" w:rsidRDefault="00251C37" w:rsidP="00AA1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13,635</w:t>
            </w:r>
          </w:p>
        </w:tc>
      </w:tr>
      <w:tr w:rsidR="00251C37" w14:paraId="393AD192" w14:textId="77777777" w:rsidTr="00251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DE9C162" w14:textId="5EBC2B57" w:rsidR="00251C37" w:rsidRPr="00AA1981" w:rsidRDefault="00251C37" w:rsidP="00251C37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AA198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Other</w:t>
            </w:r>
          </w:p>
        </w:tc>
        <w:tc>
          <w:tcPr>
            <w:tcW w:w="1668" w:type="dxa"/>
          </w:tcPr>
          <w:p w14:paraId="4BACA4CB" w14:textId="73D78404" w:rsidR="00251C37" w:rsidRDefault="00251C37" w:rsidP="00AA1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10,154</w:t>
            </w:r>
          </w:p>
        </w:tc>
      </w:tr>
      <w:tr w:rsidR="00251C37" w14:paraId="6C0D25D5" w14:textId="77777777" w:rsidTr="00251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0868F01" w14:textId="2DF07E5F" w:rsidR="00251C37" w:rsidRPr="00AA1981" w:rsidRDefault="00251C37" w:rsidP="00251C37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AA198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Benefits Check (General)</w:t>
            </w:r>
          </w:p>
        </w:tc>
        <w:tc>
          <w:tcPr>
            <w:tcW w:w="1668" w:type="dxa"/>
          </w:tcPr>
          <w:p w14:paraId="6528DF58" w14:textId="54009FF2" w:rsidR="00251C37" w:rsidRDefault="00251C37" w:rsidP="00AA1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8,471</w:t>
            </w:r>
          </w:p>
        </w:tc>
      </w:tr>
      <w:tr w:rsidR="00251C37" w14:paraId="349DD75E" w14:textId="77777777" w:rsidTr="00251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F7147AD" w14:textId="18874BF5" w:rsidR="00251C37" w:rsidRPr="00AA1981" w:rsidRDefault="00251C37" w:rsidP="00251C37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AA198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Explained Means Tests</w:t>
            </w:r>
          </w:p>
        </w:tc>
        <w:tc>
          <w:tcPr>
            <w:tcW w:w="1668" w:type="dxa"/>
          </w:tcPr>
          <w:p w14:paraId="47D795E2" w14:textId="3704DCB5" w:rsidR="00251C37" w:rsidRDefault="00251C37" w:rsidP="00AA1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8,186</w:t>
            </w:r>
          </w:p>
        </w:tc>
      </w:tr>
      <w:tr w:rsidR="00251C37" w14:paraId="041F2C0E" w14:textId="77777777" w:rsidTr="00251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65C09F1" w14:textId="6EDCFD85" w:rsidR="00251C37" w:rsidRPr="00AA1981" w:rsidRDefault="00251C37" w:rsidP="00251C37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AA198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Calculated amount of benefit/tax entitlement with caller</w:t>
            </w:r>
          </w:p>
        </w:tc>
        <w:tc>
          <w:tcPr>
            <w:tcW w:w="1668" w:type="dxa"/>
          </w:tcPr>
          <w:p w14:paraId="33F61F65" w14:textId="5093E4C5" w:rsidR="00251C37" w:rsidRDefault="00251C37" w:rsidP="00AA1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6,829</w:t>
            </w:r>
          </w:p>
        </w:tc>
      </w:tr>
      <w:tr w:rsidR="00251C37" w14:paraId="3802448A" w14:textId="77777777" w:rsidTr="00251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AE9B7B4" w14:textId="741F2B1D" w:rsidR="00251C37" w:rsidRPr="00AA1981" w:rsidRDefault="00251C37" w:rsidP="00251C37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AA198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Assisted with compiling support documentation </w:t>
            </w:r>
          </w:p>
        </w:tc>
        <w:tc>
          <w:tcPr>
            <w:tcW w:w="1668" w:type="dxa"/>
          </w:tcPr>
          <w:p w14:paraId="33394B15" w14:textId="54BC2B50" w:rsidR="00251C37" w:rsidRDefault="00251C37" w:rsidP="00AA1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5,951</w:t>
            </w:r>
          </w:p>
        </w:tc>
      </w:tr>
      <w:tr w:rsidR="00251C37" w14:paraId="5713945E" w14:textId="77777777" w:rsidTr="00251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A0C28CA" w14:textId="415D18F3" w:rsidR="00251C37" w:rsidRPr="00AA1981" w:rsidRDefault="00251C37" w:rsidP="00251C37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AA198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Assisted with online access/application</w:t>
            </w:r>
          </w:p>
        </w:tc>
        <w:tc>
          <w:tcPr>
            <w:tcW w:w="1668" w:type="dxa"/>
          </w:tcPr>
          <w:p w14:paraId="4F85B23C" w14:textId="51D67C6B" w:rsidR="00251C37" w:rsidRDefault="00251C37" w:rsidP="00AA1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4,597</w:t>
            </w:r>
          </w:p>
        </w:tc>
      </w:tr>
      <w:tr w:rsidR="00251C37" w14:paraId="7CB56E79" w14:textId="77777777" w:rsidTr="00251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52FBB8F" w14:textId="4234ED2E" w:rsidR="00251C37" w:rsidRPr="00AA1981" w:rsidRDefault="00251C37" w:rsidP="00251C37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AA198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Phone call/email/online enquiry to Gov. Dept or Agency (Public/ Vol/Sector)</w:t>
            </w:r>
          </w:p>
        </w:tc>
        <w:tc>
          <w:tcPr>
            <w:tcW w:w="1668" w:type="dxa"/>
          </w:tcPr>
          <w:p w14:paraId="333B1585" w14:textId="2C700557" w:rsidR="00251C37" w:rsidRDefault="00251C37" w:rsidP="00AA1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3,646</w:t>
            </w:r>
          </w:p>
        </w:tc>
      </w:tr>
      <w:tr w:rsidR="00251C37" w14:paraId="7604A7A5" w14:textId="77777777" w:rsidTr="00251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75C0C05" w14:textId="4236E051" w:rsidR="00251C37" w:rsidRPr="00AA1981" w:rsidRDefault="00251C37" w:rsidP="00251C37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AA198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Drafted letter/email with caller to sign or send</w:t>
            </w:r>
          </w:p>
        </w:tc>
        <w:tc>
          <w:tcPr>
            <w:tcW w:w="1668" w:type="dxa"/>
          </w:tcPr>
          <w:p w14:paraId="01460399" w14:textId="6089A6BB" w:rsidR="00251C37" w:rsidRDefault="00251C37" w:rsidP="00AA1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2,001</w:t>
            </w:r>
          </w:p>
        </w:tc>
      </w:tr>
      <w:tr w:rsidR="00251C37" w14:paraId="6BE27B70" w14:textId="77777777" w:rsidTr="00251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BA06572" w14:textId="47827EA5" w:rsidR="00251C37" w:rsidRPr="00AA1981" w:rsidRDefault="00251C37" w:rsidP="00251C37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AA198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lastRenderedPageBreak/>
              <w:t>Assistance and posting out forms</w:t>
            </w:r>
          </w:p>
        </w:tc>
        <w:tc>
          <w:tcPr>
            <w:tcW w:w="1668" w:type="dxa"/>
          </w:tcPr>
          <w:p w14:paraId="43609936" w14:textId="1BCE42C1" w:rsidR="00251C37" w:rsidRDefault="00251C37" w:rsidP="00AA1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1,905</w:t>
            </w:r>
          </w:p>
        </w:tc>
      </w:tr>
      <w:tr w:rsidR="00251C37" w14:paraId="544515F3" w14:textId="77777777" w:rsidTr="00251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AA67B2F" w14:textId="0A157FB8" w:rsidR="00251C37" w:rsidRPr="00AA1981" w:rsidRDefault="00251C37" w:rsidP="00251C37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AA198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Read and explained contents of letter</w:t>
            </w:r>
          </w:p>
        </w:tc>
        <w:tc>
          <w:tcPr>
            <w:tcW w:w="1668" w:type="dxa"/>
          </w:tcPr>
          <w:p w14:paraId="0FD0B1E3" w14:textId="52E3B264" w:rsidR="00251C37" w:rsidRDefault="00251C37" w:rsidP="00AA1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1,281</w:t>
            </w:r>
          </w:p>
        </w:tc>
      </w:tr>
      <w:tr w:rsidR="00251C37" w14:paraId="32B0BA56" w14:textId="77777777" w:rsidTr="00251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7967E5DD" w14:textId="7F8E2BC4" w:rsidR="00251C37" w:rsidRPr="00AA1981" w:rsidRDefault="00251C37" w:rsidP="00251C37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AA198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Advice on appeals/ review process</w:t>
            </w:r>
          </w:p>
        </w:tc>
        <w:tc>
          <w:tcPr>
            <w:tcW w:w="1668" w:type="dxa"/>
          </w:tcPr>
          <w:p w14:paraId="21EA4047" w14:textId="0C31F6EB" w:rsidR="00251C37" w:rsidRDefault="00251C37" w:rsidP="00AA1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</w:tr>
      <w:tr w:rsidR="00251C37" w14:paraId="3B2FB6D8" w14:textId="77777777" w:rsidTr="00251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0E94737" w14:textId="73DA3A75" w:rsidR="00251C37" w:rsidRPr="00AA1981" w:rsidRDefault="00251C37" w:rsidP="00251C37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AA198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Phone call enquiry to employer, landlord or other (Private sector)</w:t>
            </w:r>
          </w:p>
        </w:tc>
        <w:tc>
          <w:tcPr>
            <w:tcW w:w="1668" w:type="dxa"/>
          </w:tcPr>
          <w:p w14:paraId="505DD7E1" w14:textId="16019756" w:rsidR="00251C37" w:rsidRDefault="00251C37" w:rsidP="00AA1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747</w:t>
            </w:r>
          </w:p>
        </w:tc>
      </w:tr>
      <w:tr w:rsidR="00251C37" w14:paraId="2EC22645" w14:textId="77777777" w:rsidTr="00251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08649B9" w14:textId="12D9DECC" w:rsidR="00251C37" w:rsidRDefault="00251C37" w:rsidP="00251C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</w:t>
            </w:r>
          </w:p>
        </w:tc>
        <w:tc>
          <w:tcPr>
            <w:tcW w:w="1668" w:type="dxa"/>
          </w:tcPr>
          <w:p w14:paraId="2AC6FC19" w14:textId="56178965" w:rsidR="00251C37" w:rsidRDefault="00251C37" w:rsidP="00AE3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181,968</w:t>
            </w:r>
          </w:p>
        </w:tc>
      </w:tr>
    </w:tbl>
    <w:p w14:paraId="2CC9BDE7" w14:textId="77777777" w:rsidR="00251C37" w:rsidRDefault="00251C37" w:rsidP="00B12326">
      <w:pPr>
        <w:rPr>
          <w:rFonts w:ascii="Calibri" w:hAnsi="Calibri" w:cs="Calibri"/>
        </w:rPr>
      </w:pPr>
    </w:p>
    <w:p w14:paraId="7EE9FF0B" w14:textId="77777777" w:rsidR="00F378A9" w:rsidRDefault="00F378A9">
      <w:pPr>
        <w:spacing w:line="259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br w:type="page"/>
      </w:r>
    </w:p>
    <w:p w14:paraId="12443754" w14:textId="77777777" w:rsidR="006E10B5" w:rsidRDefault="006E10B5" w:rsidP="00D92861">
      <w:pPr>
        <w:jc w:val="both"/>
        <w:rPr>
          <w:rFonts w:ascii="Calibri" w:hAnsi="Calibri" w:cs="Calibri"/>
          <w:b/>
          <w:lang w:val="en-US"/>
        </w:rPr>
        <w:sectPr w:rsidR="006E10B5" w:rsidSect="00681F13">
          <w:pgSz w:w="16838" w:h="11906" w:orient="landscape"/>
          <w:pgMar w:top="1134" w:right="1440" w:bottom="1440" w:left="1440" w:header="709" w:footer="709" w:gutter="0"/>
          <w:cols w:space="708"/>
          <w:docGrid w:linePitch="360"/>
        </w:sectPr>
      </w:pPr>
    </w:p>
    <w:p w14:paraId="268386D3" w14:textId="77777777" w:rsidR="006E10B5" w:rsidRDefault="006E10B5" w:rsidP="00D92861">
      <w:pPr>
        <w:jc w:val="both"/>
        <w:rPr>
          <w:rFonts w:ascii="Calibri" w:hAnsi="Calibri" w:cs="Calibri"/>
          <w:b/>
          <w:lang w:val="en-US"/>
        </w:rPr>
      </w:pPr>
    </w:p>
    <w:p w14:paraId="617B0D49" w14:textId="6A8C49B0" w:rsidR="006E10B5" w:rsidRDefault="006E10B5" w:rsidP="00972FE7">
      <w:pPr>
        <w:jc w:val="both"/>
        <w:rPr>
          <w:rFonts w:ascii="Calibri" w:hAnsi="Calibri" w:cs="Calibri"/>
          <w:b/>
          <w:lang w:val="en-US"/>
        </w:rPr>
      </w:pPr>
      <w:r w:rsidRPr="00086128">
        <w:rPr>
          <w:rFonts w:ascii="Calibri" w:hAnsi="Calibri" w:cs="Calibri"/>
        </w:rPr>
        <w:t xml:space="preserve">Further detail on the </w:t>
      </w:r>
      <w:r w:rsidRPr="008D0484">
        <w:rPr>
          <w:rFonts w:ascii="Calibri" w:hAnsi="Calibri" w:cs="Calibri"/>
          <w:b/>
          <w:u w:val="single"/>
        </w:rPr>
        <w:t>top</w:t>
      </w:r>
      <w:r w:rsidR="007076F4">
        <w:rPr>
          <w:rFonts w:ascii="Calibri" w:hAnsi="Calibri" w:cs="Calibri"/>
          <w:b/>
          <w:u w:val="single"/>
        </w:rPr>
        <w:t xml:space="preserve"> three</w:t>
      </w:r>
      <w:r w:rsidRPr="008D0484">
        <w:rPr>
          <w:rFonts w:ascii="Calibri" w:hAnsi="Calibri" w:cs="Calibri"/>
          <w:b/>
          <w:u w:val="single"/>
        </w:rPr>
        <w:t xml:space="preserve"> main categories of queries</w:t>
      </w:r>
      <w:r w:rsidRPr="00086128">
        <w:rPr>
          <w:rFonts w:ascii="Calibri" w:hAnsi="Calibri" w:cs="Calibri"/>
        </w:rPr>
        <w:t xml:space="preserve"> received in this first quarter of 202</w:t>
      </w:r>
      <w:r w:rsidR="00E56D2E">
        <w:rPr>
          <w:rFonts w:ascii="Calibri" w:hAnsi="Calibri" w:cs="Calibri"/>
        </w:rPr>
        <w:t>4</w:t>
      </w:r>
      <w:r w:rsidRPr="00086128">
        <w:rPr>
          <w:rFonts w:ascii="Calibri" w:hAnsi="Calibri" w:cs="Calibri"/>
        </w:rPr>
        <w:t xml:space="preserve"> compared with the first quarter of 202</w:t>
      </w:r>
      <w:r w:rsidR="00E56D2E">
        <w:rPr>
          <w:rFonts w:ascii="Calibri" w:hAnsi="Calibri" w:cs="Calibri"/>
        </w:rPr>
        <w:t>3</w:t>
      </w:r>
      <w:r w:rsidRPr="00086128">
        <w:rPr>
          <w:rFonts w:ascii="Calibri" w:hAnsi="Calibri" w:cs="Calibri"/>
        </w:rPr>
        <w:t>, are set out in the narrative and tables below.</w:t>
      </w:r>
    </w:p>
    <w:p w14:paraId="03FA4202" w14:textId="2BD5BBA3" w:rsidR="00D92861" w:rsidRPr="00A941B3" w:rsidRDefault="00A8699E" w:rsidP="00D92861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 xml:space="preserve">Table </w:t>
      </w:r>
      <w:r w:rsidR="00AE3F23">
        <w:rPr>
          <w:rFonts w:ascii="Calibri" w:hAnsi="Calibri" w:cs="Calibri"/>
          <w:b/>
          <w:lang w:val="en-US"/>
        </w:rPr>
        <w:t xml:space="preserve">10 </w:t>
      </w:r>
      <w:r>
        <w:rPr>
          <w:rFonts w:ascii="Calibri" w:hAnsi="Calibri" w:cs="Calibri"/>
          <w:b/>
          <w:lang w:val="en-US"/>
        </w:rPr>
        <w:t xml:space="preserve">and </w:t>
      </w:r>
      <w:r w:rsidR="00D92861" w:rsidRPr="00A941B3">
        <w:rPr>
          <w:rFonts w:ascii="Calibri" w:hAnsi="Calibri" w:cs="Calibri"/>
          <w:b/>
          <w:lang w:val="en-US"/>
        </w:rPr>
        <w:t xml:space="preserve">Table </w:t>
      </w:r>
      <w:r w:rsidR="00795A49">
        <w:rPr>
          <w:rFonts w:ascii="Calibri" w:hAnsi="Calibri" w:cs="Calibri"/>
          <w:b/>
          <w:lang w:val="en-US"/>
        </w:rPr>
        <w:t>1</w:t>
      </w:r>
      <w:r w:rsidR="003D0788">
        <w:rPr>
          <w:rFonts w:ascii="Calibri" w:hAnsi="Calibri" w:cs="Calibri"/>
          <w:b/>
          <w:lang w:val="en-US"/>
        </w:rPr>
        <w:t>1</w:t>
      </w:r>
      <w:r w:rsidR="00D92861" w:rsidRPr="00A941B3">
        <w:rPr>
          <w:rFonts w:ascii="Calibri" w:hAnsi="Calibri" w:cs="Calibri"/>
          <w:lang w:val="en-US"/>
        </w:rPr>
        <w:t xml:space="preserve"> </w:t>
      </w:r>
      <w:r w:rsidR="00A10491">
        <w:rPr>
          <w:rFonts w:ascii="Calibri" w:hAnsi="Calibri" w:cs="Calibri"/>
          <w:lang w:val="en-US"/>
        </w:rPr>
        <w:t xml:space="preserve">below </w:t>
      </w:r>
      <w:r w:rsidR="00FE5664" w:rsidRPr="00A941B3">
        <w:rPr>
          <w:rFonts w:ascii="Calibri" w:hAnsi="Calibri" w:cs="Calibri"/>
          <w:lang w:val="en-US"/>
        </w:rPr>
        <w:t>set out</w:t>
      </w:r>
      <w:r w:rsidR="00D92861" w:rsidRPr="00A941B3">
        <w:rPr>
          <w:rFonts w:ascii="Calibri" w:hAnsi="Calibri" w:cs="Calibri"/>
          <w:lang w:val="en-US"/>
        </w:rPr>
        <w:t xml:space="preserve"> the </w:t>
      </w:r>
      <w:r w:rsidR="00D92861" w:rsidRPr="00B12326">
        <w:rPr>
          <w:rFonts w:ascii="Calibri" w:hAnsi="Calibri" w:cs="Calibri"/>
          <w:b/>
          <w:lang w:val="en-US"/>
        </w:rPr>
        <w:t>Social Welfare</w:t>
      </w:r>
      <w:r w:rsidR="00D92861" w:rsidRPr="00A941B3">
        <w:rPr>
          <w:rFonts w:ascii="Calibri" w:hAnsi="Calibri" w:cs="Calibri"/>
          <w:lang w:val="en-US"/>
        </w:rPr>
        <w:t xml:space="preserve"> query dataset for Quarter 1, 202</w:t>
      </w:r>
      <w:r w:rsidR="00D92861">
        <w:rPr>
          <w:rFonts w:ascii="Calibri" w:hAnsi="Calibri" w:cs="Calibri"/>
          <w:lang w:val="en-US"/>
        </w:rPr>
        <w:t>4</w:t>
      </w:r>
      <w:r w:rsidR="00D92861" w:rsidRPr="00A941B3">
        <w:rPr>
          <w:rFonts w:ascii="Calibri" w:hAnsi="Calibri" w:cs="Calibri"/>
          <w:lang w:val="en-US"/>
        </w:rPr>
        <w:t>.</w:t>
      </w:r>
      <w:r w:rsidR="00D92861">
        <w:rPr>
          <w:rFonts w:ascii="Calibri" w:hAnsi="Calibri" w:cs="Calibri"/>
          <w:lang w:val="en-US"/>
        </w:rPr>
        <w:t xml:space="preserve"> </w:t>
      </w:r>
      <w:r w:rsidR="00D92861" w:rsidRPr="00A941B3">
        <w:rPr>
          <w:rFonts w:ascii="Calibri" w:hAnsi="Calibri" w:cs="Calibri"/>
          <w:lang w:val="en-US"/>
        </w:rPr>
        <w:t xml:space="preserve">Query sub-categories are presented </w:t>
      </w:r>
      <w:r w:rsidR="00972FE7" w:rsidRPr="00A941B3">
        <w:rPr>
          <w:rFonts w:ascii="Calibri" w:hAnsi="Calibri" w:cs="Calibri"/>
          <w:lang w:val="en-US"/>
        </w:rPr>
        <w:t>in thematic</w:t>
      </w:r>
      <w:r w:rsidR="00D92861">
        <w:rPr>
          <w:rFonts w:ascii="Calibri" w:hAnsi="Calibri" w:cs="Calibri"/>
          <w:lang w:val="en-US"/>
        </w:rPr>
        <w:t xml:space="preserve"> categories</w:t>
      </w:r>
      <w:r w:rsidR="00D92861" w:rsidRPr="00A941B3">
        <w:rPr>
          <w:rFonts w:ascii="Calibri" w:hAnsi="Calibri" w:cs="Calibri"/>
          <w:lang w:val="en-US"/>
        </w:rPr>
        <w:t xml:space="preserve">, </w:t>
      </w:r>
      <w:r w:rsidR="00D92861">
        <w:rPr>
          <w:rFonts w:ascii="Calibri" w:hAnsi="Calibri" w:cs="Calibri"/>
          <w:lang w:val="en-US"/>
        </w:rPr>
        <w:t xml:space="preserve">and include individual schemes, payments and entitlements </w:t>
      </w:r>
      <w:r w:rsidR="00D92861" w:rsidRPr="00A941B3">
        <w:rPr>
          <w:rFonts w:ascii="Calibri" w:hAnsi="Calibri" w:cs="Calibri"/>
          <w:lang w:val="en-US"/>
        </w:rPr>
        <w:t xml:space="preserve">as recorded by CISs. The percentages in the right-hand column represent the percentage of queries for that </w:t>
      </w:r>
      <w:r w:rsidR="00D92861">
        <w:rPr>
          <w:rFonts w:ascii="Calibri" w:hAnsi="Calibri" w:cs="Calibri"/>
          <w:lang w:val="en-US"/>
        </w:rPr>
        <w:t xml:space="preserve">data </w:t>
      </w:r>
      <w:r w:rsidR="00D92861" w:rsidRPr="00A941B3">
        <w:rPr>
          <w:rFonts w:ascii="Calibri" w:hAnsi="Calibri" w:cs="Calibri"/>
          <w:lang w:val="en-US"/>
        </w:rPr>
        <w:t xml:space="preserve">sub-category i.e., the </w:t>
      </w:r>
      <w:r w:rsidR="00D92861" w:rsidRPr="00212807">
        <w:rPr>
          <w:rFonts w:ascii="Calibri" w:hAnsi="Calibri" w:cs="Calibri"/>
          <w:i/>
          <w:lang w:val="en-US"/>
        </w:rPr>
        <w:t>Disability Allowance</w:t>
      </w:r>
      <w:r w:rsidR="00D92861" w:rsidRPr="00A941B3">
        <w:rPr>
          <w:rFonts w:ascii="Calibri" w:hAnsi="Calibri" w:cs="Calibri"/>
          <w:lang w:val="en-US"/>
        </w:rPr>
        <w:t xml:space="preserve"> percentage represents the queries recorded as a percentage of the </w:t>
      </w:r>
      <w:r w:rsidR="00D92861" w:rsidRPr="00A941B3">
        <w:rPr>
          <w:rFonts w:ascii="Calibri" w:hAnsi="Calibri" w:cs="Calibri"/>
          <w:b/>
          <w:i/>
          <w:lang w:val="en-US"/>
        </w:rPr>
        <w:t>Disability and Illness</w:t>
      </w:r>
      <w:r w:rsidR="00D92861" w:rsidRPr="00A941B3">
        <w:rPr>
          <w:rFonts w:ascii="Calibri" w:hAnsi="Calibri" w:cs="Calibri"/>
          <w:lang w:val="en-US"/>
        </w:rPr>
        <w:t xml:space="preserve"> </w:t>
      </w:r>
      <w:r w:rsidR="00D92861">
        <w:rPr>
          <w:rFonts w:ascii="Calibri" w:hAnsi="Calibri" w:cs="Calibri"/>
          <w:lang w:val="en-US"/>
        </w:rPr>
        <w:t xml:space="preserve">thematic </w:t>
      </w:r>
      <w:r w:rsidR="00D92861" w:rsidRPr="00A941B3">
        <w:rPr>
          <w:rFonts w:ascii="Calibri" w:hAnsi="Calibri" w:cs="Calibri"/>
          <w:lang w:val="en-US"/>
        </w:rPr>
        <w:t xml:space="preserve">sub-category. </w:t>
      </w:r>
    </w:p>
    <w:p w14:paraId="4B367A2F" w14:textId="77777777" w:rsidR="00D92861" w:rsidRPr="00ED0D5E" w:rsidRDefault="00D92861" w:rsidP="00361EF3">
      <w:pPr>
        <w:spacing w:line="240" w:lineRule="auto"/>
        <w:rPr>
          <w:rFonts w:ascii="Calibri" w:hAnsi="Calibri" w:cs="Calibri"/>
          <w:b/>
          <w:color w:val="1C6194" w:themeColor="accent2" w:themeShade="BF"/>
          <w:lang w:val="en-US"/>
        </w:rPr>
      </w:pPr>
    </w:p>
    <w:p w14:paraId="0BE3DD06" w14:textId="35C680BE" w:rsidR="008B2863" w:rsidRPr="00ED0D5E" w:rsidRDefault="008B2863" w:rsidP="00361EF3">
      <w:pPr>
        <w:spacing w:line="240" w:lineRule="auto"/>
        <w:rPr>
          <w:rFonts w:ascii="Calibri" w:hAnsi="Calibri" w:cs="Calibri"/>
          <w:b/>
          <w:color w:val="1C6194" w:themeColor="accent2" w:themeShade="BF"/>
          <w:lang w:val="en-US"/>
        </w:rPr>
      </w:pPr>
      <w:r w:rsidRPr="00ED0D5E">
        <w:rPr>
          <w:rFonts w:ascii="Calibri" w:hAnsi="Calibri" w:cs="Calibri"/>
          <w:b/>
          <w:color w:val="1C6194" w:themeColor="accent2" w:themeShade="BF"/>
          <w:lang w:val="en-US"/>
        </w:rPr>
        <w:t>S</w:t>
      </w:r>
      <w:r w:rsidR="00853B85" w:rsidRPr="00ED0D5E">
        <w:rPr>
          <w:rFonts w:ascii="Calibri" w:hAnsi="Calibri" w:cs="Calibri"/>
          <w:b/>
          <w:color w:val="1C6194" w:themeColor="accent2" w:themeShade="BF"/>
          <w:lang w:val="en-US"/>
        </w:rPr>
        <w:t xml:space="preserve">ocial Welfare payment trends Q1, </w:t>
      </w:r>
      <w:r w:rsidR="001D27AB" w:rsidRPr="00ED0D5E">
        <w:rPr>
          <w:rFonts w:ascii="Calibri" w:hAnsi="Calibri" w:cs="Calibri"/>
          <w:b/>
          <w:color w:val="1C6194" w:themeColor="accent2" w:themeShade="BF"/>
          <w:lang w:val="en-US"/>
        </w:rPr>
        <w:t>202</w:t>
      </w:r>
      <w:r w:rsidR="00243C8E" w:rsidRPr="00ED0D5E">
        <w:rPr>
          <w:rFonts w:ascii="Calibri" w:hAnsi="Calibri" w:cs="Calibri"/>
          <w:b/>
          <w:color w:val="1C6194" w:themeColor="accent2" w:themeShade="BF"/>
          <w:lang w:val="en-US"/>
        </w:rPr>
        <w:t>4</w:t>
      </w:r>
      <w:r w:rsidR="001D27AB" w:rsidRPr="00ED0D5E">
        <w:rPr>
          <w:rFonts w:ascii="Calibri" w:hAnsi="Calibri" w:cs="Calibri"/>
          <w:b/>
          <w:color w:val="1C6194" w:themeColor="accent2" w:themeShade="BF"/>
          <w:lang w:val="en-US"/>
        </w:rPr>
        <w:t>:</w:t>
      </w:r>
    </w:p>
    <w:p w14:paraId="6C22D580" w14:textId="0B79C667" w:rsidR="00BC0727" w:rsidRDefault="00BC0727" w:rsidP="00361EF3">
      <w:pPr>
        <w:spacing w:line="240" w:lineRule="auto"/>
        <w:rPr>
          <w:rFonts w:ascii="Calibri" w:hAnsi="Calibri" w:cs="Calibri"/>
          <w:bCs/>
          <w:lang w:val="en-US"/>
        </w:rPr>
      </w:pPr>
      <w:r w:rsidRPr="00BC0727">
        <w:rPr>
          <w:rFonts w:ascii="Calibri" w:hAnsi="Calibri" w:cs="Calibri"/>
          <w:bCs/>
          <w:u w:val="single"/>
          <w:lang w:val="en-US"/>
        </w:rPr>
        <w:t>Query statistics relating to Social Welfare</w:t>
      </w:r>
      <w:r w:rsidR="00086128">
        <w:rPr>
          <w:rFonts w:ascii="Calibri" w:hAnsi="Calibri" w:cs="Calibri"/>
          <w:bCs/>
          <w:u w:val="single"/>
          <w:lang w:val="en-US"/>
        </w:rPr>
        <w:t xml:space="preserve"> (SW)</w:t>
      </w:r>
      <w:r>
        <w:rPr>
          <w:rFonts w:ascii="Calibri" w:hAnsi="Calibri" w:cs="Calibri"/>
          <w:bCs/>
          <w:lang w:val="en-US"/>
        </w:rPr>
        <w:t>.</w:t>
      </w:r>
    </w:p>
    <w:p w14:paraId="56AFE9FB" w14:textId="1DA477A5" w:rsidR="00772796" w:rsidRDefault="00772796" w:rsidP="00972FE7">
      <w:pPr>
        <w:spacing w:line="240" w:lineRule="auto"/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Overall Social Welfare queries were down by almost 12% (11.7%). Most sub-categories under Social Welfare declined.</w:t>
      </w:r>
    </w:p>
    <w:p w14:paraId="01F3D622" w14:textId="30FCD2EA" w:rsidR="00772796" w:rsidRDefault="00772796" w:rsidP="00972FE7">
      <w:pPr>
        <w:spacing w:line="240" w:lineRule="auto"/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Disability &amp; Illness was the most queried category and accounted for 15.7% of all social welfare queries (14,283 queries). The whole sub-category declined by 7.7% compared to the same quarter in Q1 2023.</w:t>
      </w:r>
    </w:p>
    <w:p w14:paraId="62BCC76F" w14:textId="5816FD9D" w:rsidR="00772796" w:rsidRDefault="00772796" w:rsidP="00972FE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Disability Allowance queries </w:t>
      </w:r>
      <w:r w:rsidR="009A36D8">
        <w:rPr>
          <w:rFonts w:ascii="Calibri" w:hAnsi="Calibri" w:cs="Calibri"/>
          <w:bCs/>
          <w:lang w:val="en-US"/>
        </w:rPr>
        <w:t xml:space="preserve">decreased </w:t>
      </w:r>
      <w:r>
        <w:rPr>
          <w:rFonts w:ascii="Calibri" w:hAnsi="Calibri" w:cs="Calibri"/>
          <w:bCs/>
          <w:lang w:val="en-US"/>
        </w:rPr>
        <w:t>by 5%</w:t>
      </w:r>
      <w:r w:rsidR="006E10B5">
        <w:rPr>
          <w:rFonts w:ascii="Calibri" w:hAnsi="Calibri" w:cs="Calibri"/>
          <w:bCs/>
          <w:lang w:val="en-US"/>
        </w:rPr>
        <w:t xml:space="preserve"> (6,899)</w:t>
      </w:r>
      <w:r>
        <w:rPr>
          <w:rFonts w:ascii="Calibri" w:hAnsi="Calibri" w:cs="Calibri"/>
          <w:bCs/>
          <w:lang w:val="en-US"/>
        </w:rPr>
        <w:t xml:space="preserve">, Illness Benefit </w:t>
      </w:r>
      <w:r w:rsidR="009A36D8">
        <w:rPr>
          <w:rFonts w:ascii="Calibri" w:hAnsi="Calibri" w:cs="Calibri"/>
          <w:bCs/>
          <w:lang w:val="en-US"/>
        </w:rPr>
        <w:t xml:space="preserve">was down </w:t>
      </w:r>
      <w:r>
        <w:rPr>
          <w:rFonts w:ascii="Calibri" w:hAnsi="Calibri" w:cs="Calibri"/>
          <w:bCs/>
          <w:lang w:val="en-US"/>
        </w:rPr>
        <w:t>by 8.4%</w:t>
      </w:r>
      <w:r w:rsidR="006E10B5">
        <w:rPr>
          <w:rFonts w:ascii="Calibri" w:hAnsi="Calibri" w:cs="Calibri"/>
          <w:bCs/>
          <w:lang w:val="en-US"/>
        </w:rPr>
        <w:t xml:space="preserve"> (3,531)</w:t>
      </w:r>
      <w:r>
        <w:rPr>
          <w:rFonts w:ascii="Calibri" w:hAnsi="Calibri" w:cs="Calibri"/>
          <w:bCs/>
          <w:lang w:val="en-US"/>
        </w:rPr>
        <w:t xml:space="preserve"> and Invalidity Pension</w:t>
      </w:r>
      <w:r w:rsidR="009A36D8">
        <w:rPr>
          <w:rFonts w:ascii="Calibri" w:hAnsi="Calibri" w:cs="Calibri"/>
          <w:bCs/>
          <w:lang w:val="en-US"/>
        </w:rPr>
        <w:t xml:space="preserve"> queries</w:t>
      </w:r>
      <w:r>
        <w:rPr>
          <w:rFonts w:ascii="Calibri" w:hAnsi="Calibri" w:cs="Calibri"/>
          <w:bCs/>
          <w:lang w:val="en-US"/>
        </w:rPr>
        <w:t xml:space="preserve"> </w:t>
      </w:r>
      <w:r w:rsidR="009A36D8">
        <w:rPr>
          <w:rFonts w:ascii="Calibri" w:hAnsi="Calibri" w:cs="Calibri"/>
          <w:bCs/>
          <w:lang w:val="en-US"/>
        </w:rPr>
        <w:t xml:space="preserve">fell </w:t>
      </w:r>
      <w:r>
        <w:rPr>
          <w:rFonts w:ascii="Calibri" w:hAnsi="Calibri" w:cs="Calibri"/>
          <w:bCs/>
          <w:lang w:val="en-US"/>
        </w:rPr>
        <w:t>by 12.7%</w:t>
      </w:r>
      <w:r w:rsidR="006E10B5">
        <w:rPr>
          <w:rFonts w:ascii="Calibri" w:hAnsi="Calibri" w:cs="Calibri"/>
          <w:bCs/>
          <w:lang w:val="en-US"/>
        </w:rPr>
        <w:t xml:space="preserve"> (2,817)</w:t>
      </w:r>
      <w:r>
        <w:rPr>
          <w:rFonts w:ascii="Calibri" w:hAnsi="Calibri" w:cs="Calibri"/>
          <w:bCs/>
          <w:lang w:val="en-US"/>
        </w:rPr>
        <w:t>.</w:t>
      </w:r>
    </w:p>
    <w:p w14:paraId="06EA772C" w14:textId="561AE85A" w:rsidR="00772796" w:rsidRDefault="00772796" w:rsidP="00972FE7">
      <w:pPr>
        <w:spacing w:line="240" w:lineRule="auto"/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Older and retired people was the second most queried sub-category and made up 15.2% of all social welfare queries (13,827 queries). Queries under this category </w:t>
      </w:r>
      <w:r w:rsidR="00A8699E">
        <w:rPr>
          <w:rFonts w:ascii="Calibri" w:hAnsi="Calibri" w:cs="Calibri"/>
          <w:bCs/>
          <w:lang w:val="en-US"/>
        </w:rPr>
        <w:t xml:space="preserve">dropped slightly </w:t>
      </w:r>
      <w:r>
        <w:rPr>
          <w:rFonts w:ascii="Calibri" w:hAnsi="Calibri" w:cs="Calibri"/>
          <w:bCs/>
          <w:lang w:val="en-US"/>
        </w:rPr>
        <w:t>by 1.8%</w:t>
      </w:r>
      <w:r w:rsidR="00FE5664">
        <w:rPr>
          <w:rFonts w:ascii="Calibri" w:hAnsi="Calibri" w:cs="Calibri"/>
          <w:bCs/>
          <w:lang w:val="en-US"/>
        </w:rPr>
        <w:t xml:space="preserve"> (13,</w:t>
      </w:r>
      <w:r w:rsidR="00E56D2E">
        <w:rPr>
          <w:rFonts w:ascii="Calibri" w:hAnsi="Calibri" w:cs="Calibri"/>
          <w:bCs/>
          <w:lang w:val="en-US"/>
        </w:rPr>
        <w:t>827</w:t>
      </w:r>
      <w:r w:rsidR="00FE5664">
        <w:rPr>
          <w:rFonts w:ascii="Calibri" w:hAnsi="Calibri" w:cs="Calibri"/>
          <w:bCs/>
          <w:lang w:val="en-US"/>
        </w:rPr>
        <w:t>)</w:t>
      </w:r>
      <w:r>
        <w:rPr>
          <w:rFonts w:ascii="Calibri" w:hAnsi="Calibri" w:cs="Calibri"/>
          <w:bCs/>
          <w:lang w:val="en-US"/>
        </w:rPr>
        <w:t>.</w:t>
      </w:r>
    </w:p>
    <w:p w14:paraId="7F9FB718" w14:textId="4491BB81" w:rsidR="00772796" w:rsidRDefault="00772796" w:rsidP="00972FE7">
      <w:pPr>
        <w:spacing w:line="240" w:lineRule="auto"/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Extra Social Welfare Benefits decreased by </w:t>
      </w:r>
      <w:r w:rsidR="00A8699E">
        <w:rPr>
          <w:rFonts w:ascii="Calibri" w:hAnsi="Calibri" w:cs="Calibri"/>
          <w:bCs/>
          <w:lang w:val="en-US"/>
        </w:rPr>
        <w:t xml:space="preserve">almost a </w:t>
      </w:r>
      <w:r w:rsidR="00A81735">
        <w:rPr>
          <w:rFonts w:ascii="Calibri" w:hAnsi="Calibri" w:cs="Calibri"/>
          <w:bCs/>
          <w:lang w:val="en-US"/>
        </w:rPr>
        <w:t>third (</w:t>
      </w:r>
      <w:r>
        <w:rPr>
          <w:rFonts w:ascii="Calibri" w:hAnsi="Calibri" w:cs="Calibri"/>
          <w:bCs/>
          <w:lang w:val="en-US"/>
        </w:rPr>
        <w:t>from 18,309 queries to 12,625 queries)</w:t>
      </w:r>
      <w:r w:rsidR="00F87243">
        <w:rPr>
          <w:rFonts w:ascii="Calibri" w:hAnsi="Calibri" w:cs="Calibri"/>
          <w:bCs/>
          <w:lang w:val="en-US"/>
        </w:rPr>
        <w:t xml:space="preserve">. </w:t>
      </w:r>
      <w:r w:rsidR="00A10491">
        <w:rPr>
          <w:rFonts w:ascii="Calibri" w:hAnsi="Calibri" w:cs="Calibri"/>
          <w:bCs/>
          <w:lang w:val="en-US"/>
        </w:rPr>
        <w:t xml:space="preserve">Within this category, </w:t>
      </w:r>
      <w:r w:rsidR="00F87243">
        <w:rPr>
          <w:rFonts w:ascii="Calibri" w:hAnsi="Calibri" w:cs="Calibri"/>
          <w:bCs/>
          <w:lang w:val="en-US"/>
        </w:rPr>
        <w:t>Fuel Allowance queries almost halved (</w:t>
      </w:r>
      <w:r w:rsidR="006E10B5">
        <w:rPr>
          <w:rFonts w:ascii="Calibri" w:hAnsi="Calibri" w:cs="Calibri"/>
          <w:bCs/>
          <w:lang w:val="en-US"/>
        </w:rPr>
        <w:t>4,526</w:t>
      </w:r>
      <w:r w:rsidR="00F87243">
        <w:rPr>
          <w:rFonts w:ascii="Calibri" w:hAnsi="Calibri" w:cs="Calibri"/>
          <w:bCs/>
          <w:lang w:val="en-US"/>
        </w:rPr>
        <w:t>), Household Benefits Package declined by 11.9%</w:t>
      </w:r>
      <w:r w:rsidR="006E10B5">
        <w:rPr>
          <w:rFonts w:ascii="Calibri" w:hAnsi="Calibri" w:cs="Calibri"/>
          <w:bCs/>
          <w:lang w:val="en-US"/>
        </w:rPr>
        <w:t xml:space="preserve"> (4,277)</w:t>
      </w:r>
      <w:r w:rsidR="00F87243">
        <w:rPr>
          <w:rFonts w:ascii="Calibri" w:hAnsi="Calibri" w:cs="Calibri"/>
          <w:bCs/>
          <w:lang w:val="en-US"/>
        </w:rPr>
        <w:t xml:space="preserve"> and Free Travel queries (Travel Card, Companion card, etc.) decreased by 18.5%</w:t>
      </w:r>
      <w:r w:rsidR="006E10B5">
        <w:rPr>
          <w:rFonts w:ascii="Calibri" w:hAnsi="Calibri" w:cs="Calibri"/>
          <w:bCs/>
          <w:lang w:val="en-US"/>
        </w:rPr>
        <w:t xml:space="preserve"> (1,704)</w:t>
      </w:r>
    </w:p>
    <w:p w14:paraId="0689BD60" w14:textId="7117475C" w:rsidR="00F87243" w:rsidRDefault="00F87243" w:rsidP="00772796">
      <w:p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Queries relating to </w:t>
      </w:r>
      <w:r w:rsidR="00FE5664">
        <w:rPr>
          <w:rFonts w:ascii="Calibri" w:hAnsi="Calibri" w:cs="Calibri"/>
          <w:bCs/>
          <w:lang w:val="en-US"/>
        </w:rPr>
        <w:t>C</w:t>
      </w:r>
      <w:r>
        <w:rPr>
          <w:rFonts w:ascii="Calibri" w:hAnsi="Calibri" w:cs="Calibri"/>
          <w:bCs/>
          <w:lang w:val="en-US"/>
        </w:rPr>
        <w:t xml:space="preserve">arers made up almost 11% of all social welfare queries. The number of queries relating to </w:t>
      </w:r>
      <w:r w:rsidR="00FE5664">
        <w:rPr>
          <w:rFonts w:ascii="Calibri" w:hAnsi="Calibri" w:cs="Calibri"/>
          <w:bCs/>
          <w:lang w:val="en-US"/>
        </w:rPr>
        <w:t>C</w:t>
      </w:r>
      <w:r>
        <w:rPr>
          <w:rFonts w:ascii="Calibri" w:hAnsi="Calibri" w:cs="Calibri"/>
          <w:bCs/>
          <w:lang w:val="en-US"/>
        </w:rPr>
        <w:t>arers</w:t>
      </w:r>
      <w:r w:rsidR="00A10491">
        <w:rPr>
          <w:rFonts w:ascii="Calibri" w:hAnsi="Calibri" w:cs="Calibri"/>
          <w:bCs/>
          <w:lang w:val="en-US"/>
        </w:rPr>
        <w:t xml:space="preserve"> payments</w:t>
      </w:r>
      <w:r>
        <w:rPr>
          <w:rFonts w:ascii="Calibri" w:hAnsi="Calibri" w:cs="Calibri"/>
          <w:bCs/>
          <w:lang w:val="en-US"/>
        </w:rPr>
        <w:t xml:space="preserve"> lessened by 6.9%</w:t>
      </w:r>
      <w:r w:rsidR="006E10B5">
        <w:rPr>
          <w:rFonts w:ascii="Calibri" w:hAnsi="Calibri" w:cs="Calibri"/>
          <w:bCs/>
          <w:lang w:val="en-US"/>
        </w:rPr>
        <w:t xml:space="preserve"> (9,855)</w:t>
      </w:r>
      <w:r w:rsidR="00A10491">
        <w:rPr>
          <w:rFonts w:ascii="Calibri" w:hAnsi="Calibri" w:cs="Calibri"/>
          <w:bCs/>
          <w:lang w:val="en-US"/>
        </w:rPr>
        <w:t xml:space="preserve"> – Carer’s Benefit queries did </w:t>
      </w:r>
      <w:r w:rsidR="00A81735">
        <w:rPr>
          <w:rFonts w:ascii="Calibri" w:hAnsi="Calibri" w:cs="Calibri"/>
          <w:bCs/>
          <w:lang w:val="en-US"/>
        </w:rPr>
        <w:t>increase.</w:t>
      </w:r>
    </w:p>
    <w:p w14:paraId="1C9765C3" w14:textId="575961FD" w:rsidR="00F87243" w:rsidRDefault="00F87243" w:rsidP="00F87243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Carer’s Allowance queries decreased by 8.6%</w:t>
      </w:r>
      <w:r w:rsidR="006E10B5">
        <w:rPr>
          <w:rFonts w:ascii="Calibri" w:hAnsi="Calibri" w:cs="Calibri"/>
          <w:bCs/>
          <w:lang w:val="en-US"/>
        </w:rPr>
        <w:t xml:space="preserve"> (6,066)</w:t>
      </w:r>
      <w:r>
        <w:rPr>
          <w:rFonts w:ascii="Calibri" w:hAnsi="Calibri" w:cs="Calibri"/>
          <w:bCs/>
          <w:lang w:val="en-US"/>
        </w:rPr>
        <w:t>.</w:t>
      </w:r>
    </w:p>
    <w:p w14:paraId="0DB4BEDB" w14:textId="4BF580C7" w:rsidR="00F87243" w:rsidRDefault="00F87243" w:rsidP="00F87243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Carer’s Benefit queries increased by 6.1%</w:t>
      </w:r>
      <w:r w:rsidR="006E10B5">
        <w:rPr>
          <w:rFonts w:ascii="Calibri" w:hAnsi="Calibri" w:cs="Calibri"/>
          <w:bCs/>
          <w:lang w:val="en-US"/>
        </w:rPr>
        <w:t xml:space="preserve"> (1,245)</w:t>
      </w:r>
      <w:r>
        <w:rPr>
          <w:rFonts w:ascii="Calibri" w:hAnsi="Calibri" w:cs="Calibri"/>
          <w:bCs/>
          <w:lang w:val="en-US"/>
        </w:rPr>
        <w:t>.</w:t>
      </w:r>
    </w:p>
    <w:p w14:paraId="07BFD1DE" w14:textId="22205EAE" w:rsidR="00F87243" w:rsidRDefault="00F87243" w:rsidP="00F87243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Domiciliary Care Allowance </w:t>
      </w:r>
      <w:r w:rsidR="00A10491">
        <w:rPr>
          <w:rFonts w:ascii="Calibri" w:hAnsi="Calibri" w:cs="Calibri"/>
          <w:bCs/>
          <w:lang w:val="en-US"/>
        </w:rPr>
        <w:t xml:space="preserve">dropped </w:t>
      </w:r>
      <w:r>
        <w:rPr>
          <w:rFonts w:ascii="Calibri" w:hAnsi="Calibri" w:cs="Calibri"/>
          <w:bCs/>
          <w:lang w:val="en-US"/>
        </w:rPr>
        <w:t xml:space="preserve">by </w:t>
      </w:r>
      <w:r w:rsidR="00106D92">
        <w:rPr>
          <w:rFonts w:ascii="Calibri" w:hAnsi="Calibri" w:cs="Calibri"/>
          <w:bCs/>
          <w:lang w:val="en-US"/>
        </w:rPr>
        <w:t>8.6%</w:t>
      </w:r>
      <w:r w:rsidR="006E10B5">
        <w:rPr>
          <w:rFonts w:ascii="Calibri" w:hAnsi="Calibri" w:cs="Calibri"/>
          <w:bCs/>
          <w:lang w:val="en-US"/>
        </w:rPr>
        <w:t xml:space="preserve"> (1,072)</w:t>
      </w:r>
      <w:r w:rsidR="00106D92">
        <w:rPr>
          <w:rFonts w:ascii="Calibri" w:hAnsi="Calibri" w:cs="Calibri"/>
          <w:bCs/>
          <w:lang w:val="en-US"/>
        </w:rPr>
        <w:t>.</w:t>
      </w:r>
    </w:p>
    <w:p w14:paraId="39028EA4" w14:textId="5EFC395B" w:rsidR="006E10B5" w:rsidRDefault="006E10B5" w:rsidP="006E10B5">
      <w:p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Queries about Families and Children decreased by 15% (8,622)</w:t>
      </w:r>
    </w:p>
    <w:p w14:paraId="4F383B4B" w14:textId="56E1734C" w:rsidR="00077BA9" w:rsidRDefault="00077BA9" w:rsidP="00077BA9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Working Family Payment decreased by 11.8% (3,066).</w:t>
      </w:r>
    </w:p>
    <w:p w14:paraId="77438F31" w14:textId="7C7B7BBE" w:rsidR="00077BA9" w:rsidRDefault="00077BA9" w:rsidP="00077BA9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One Parent Family Payment decreased by 12.2% (1,720)</w:t>
      </w:r>
    </w:p>
    <w:p w14:paraId="4D6EC45A" w14:textId="2C188F35" w:rsidR="00077BA9" w:rsidRDefault="00077BA9" w:rsidP="00077BA9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Child Benefit queries remained at a similar level, increasing slight</w:t>
      </w:r>
      <w:r w:rsidR="00A10491">
        <w:rPr>
          <w:rFonts w:ascii="Calibri" w:hAnsi="Calibri" w:cs="Calibri"/>
          <w:bCs/>
          <w:lang w:val="en-US"/>
        </w:rPr>
        <w:t>ly</w:t>
      </w:r>
      <w:r>
        <w:rPr>
          <w:rFonts w:ascii="Calibri" w:hAnsi="Calibri" w:cs="Calibri"/>
          <w:bCs/>
          <w:lang w:val="en-US"/>
        </w:rPr>
        <w:t xml:space="preserve"> by 1.7% (1,515).</w:t>
      </w:r>
    </w:p>
    <w:p w14:paraId="5FC50022" w14:textId="7F20C6BA" w:rsidR="00077BA9" w:rsidRDefault="00077BA9" w:rsidP="00077BA9">
      <w:p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Supplementary Welfare Allowance queries declined by 11.2% (7,565)</w:t>
      </w:r>
    </w:p>
    <w:p w14:paraId="453DEB2A" w14:textId="4EDD0078" w:rsidR="00077BA9" w:rsidRDefault="00077BA9" w:rsidP="00077BA9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Basic supplementary welfare allowance </w:t>
      </w:r>
      <w:r w:rsidR="00A10491">
        <w:rPr>
          <w:rFonts w:ascii="Calibri" w:hAnsi="Calibri" w:cs="Calibri"/>
          <w:bCs/>
          <w:lang w:val="en-US"/>
        </w:rPr>
        <w:t xml:space="preserve">down </w:t>
      </w:r>
      <w:r>
        <w:rPr>
          <w:rFonts w:ascii="Calibri" w:hAnsi="Calibri" w:cs="Calibri"/>
          <w:bCs/>
          <w:lang w:val="en-US"/>
        </w:rPr>
        <w:t>by 3.5% (3,686)</w:t>
      </w:r>
    </w:p>
    <w:p w14:paraId="791ECAE8" w14:textId="0F67CB78" w:rsidR="00077BA9" w:rsidRDefault="00077BA9" w:rsidP="00077BA9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Additional Needs Payments </w:t>
      </w:r>
      <w:r w:rsidR="00A10491">
        <w:rPr>
          <w:rFonts w:ascii="Calibri" w:hAnsi="Calibri" w:cs="Calibri"/>
          <w:bCs/>
          <w:lang w:val="en-US"/>
        </w:rPr>
        <w:t xml:space="preserve">dropped </w:t>
      </w:r>
      <w:r>
        <w:rPr>
          <w:rFonts w:ascii="Calibri" w:hAnsi="Calibri" w:cs="Calibri"/>
          <w:bCs/>
          <w:lang w:val="en-US"/>
        </w:rPr>
        <w:t>by 14.1% (3,025)</w:t>
      </w:r>
    </w:p>
    <w:p w14:paraId="47B4FF9A" w14:textId="0134643E" w:rsidR="00077BA9" w:rsidRPr="00077BA9" w:rsidRDefault="00077BA9" w:rsidP="00077BA9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Rent Supplement decreased by 28.4% (801 queries).</w:t>
      </w:r>
    </w:p>
    <w:p w14:paraId="0DA9F439" w14:textId="77777777" w:rsidR="00795A49" w:rsidRDefault="00795A49" w:rsidP="00F87243">
      <w:pPr>
        <w:spacing w:line="240" w:lineRule="auto"/>
        <w:rPr>
          <w:rFonts w:ascii="Calibri" w:hAnsi="Calibri" w:cs="Calibri"/>
          <w:bCs/>
          <w:lang w:val="en-US"/>
        </w:rPr>
      </w:pPr>
    </w:p>
    <w:p w14:paraId="45E3D4AD" w14:textId="77777777" w:rsidR="00A81735" w:rsidRDefault="00A81735" w:rsidP="00F87243">
      <w:pPr>
        <w:spacing w:line="240" w:lineRule="auto"/>
        <w:rPr>
          <w:rFonts w:ascii="Calibri" w:hAnsi="Calibri" w:cs="Calibri"/>
          <w:bCs/>
          <w:lang w:val="en-US"/>
        </w:rPr>
      </w:pPr>
    </w:p>
    <w:p w14:paraId="37A42F8E" w14:textId="77777777" w:rsidR="00972FE7" w:rsidRDefault="00972FE7" w:rsidP="00086128">
      <w:pPr>
        <w:spacing w:line="240" w:lineRule="auto"/>
        <w:ind w:left="360"/>
        <w:rPr>
          <w:rFonts w:ascii="Calibri" w:hAnsi="Calibri" w:cs="Calibri"/>
          <w:bCs/>
          <w:u w:val="single"/>
          <w:lang w:val="en-US"/>
        </w:rPr>
      </w:pPr>
    </w:p>
    <w:p w14:paraId="35C6619F" w14:textId="418C1F93" w:rsidR="00587D7B" w:rsidRDefault="00BC0727" w:rsidP="00086128">
      <w:pPr>
        <w:spacing w:line="240" w:lineRule="auto"/>
        <w:ind w:left="360"/>
        <w:rPr>
          <w:rFonts w:ascii="Calibri" w:hAnsi="Calibri" w:cs="Calibri"/>
          <w:bCs/>
          <w:lang w:val="en-US"/>
        </w:rPr>
      </w:pPr>
      <w:r w:rsidRPr="00086128">
        <w:rPr>
          <w:rFonts w:ascii="Calibri" w:hAnsi="Calibri" w:cs="Calibri"/>
          <w:bCs/>
          <w:u w:val="single"/>
          <w:lang w:val="en-US"/>
        </w:rPr>
        <w:lastRenderedPageBreak/>
        <w:t xml:space="preserve">Caller </w:t>
      </w:r>
      <w:r w:rsidR="00E7397C" w:rsidRPr="00086128">
        <w:rPr>
          <w:rFonts w:ascii="Calibri" w:hAnsi="Calibri" w:cs="Calibri"/>
          <w:bCs/>
          <w:u w:val="single"/>
          <w:lang w:val="en-US"/>
        </w:rPr>
        <w:t xml:space="preserve">profile data </w:t>
      </w:r>
      <w:r w:rsidRPr="00086128">
        <w:rPr>
          <w:rFonts w:ascii="Calibri" w:hAnsi="Calibri" w:cs="Calibri"/>
          <w:bCs/>
          <w:u w:val="single"/>
          <w:lang w:val="en-US"/>
        </w:rPr>
        <w:t>relating to Social Welfare</w:t>
      </w:r>
      <w:r w:rsidRPr="00086128">
        <w:rPr>
          <w:rFonts w:ascii="Calibri" w:hAnsi="Calibri" w:cs="Calibri"/>
          <w:bCs/>
          <w:lang w:val="en-US"/>
        </w:rPr>
        <w:t>.</w:t>
      </w:r>
    </w:p>
    <w:p w14:paraId="154244F4" w14:textId="206DD970" w:rsidR="00F87243" w:rsidRDefault="00F87243" w:rsidP="00086128">
      <w:pPr>
        <w:spacing w:line="240" w:lineRule="auto"/>
        <w:ind w:left="360"/>
        <w:rPr>
          <w:rFonts w:ascii="Calibri" w:hAnsi="Calibri" w:cs="Calibri"/>
          <w:lang w:val="en-US"/>
        </w:rPr>
      </w:pPr>
      <w:r w:rsidRPr="004D412D">
        <w:rPr>
          <w:rFonts w:ascii="Calibri" w:hAnsi="Calibri" w:cs="Calibri"/>
          <w:bCs/>
          <w:lang w:val="en-US"/>
        </w:rPr>
        <w:t>44</w:t>
      </w:r>
      <w:r w:rsidRPr="00F87243">
        <w:rPr>
          <w:rFonts w:ascii="Calibri" w:hAnsi="Calibri" w:cs="Calibri"/>
          <w:lang w:val="en-US"/>
        </w:rPr>
        <w:t>.</w:t>
      </w:r>
      <w:r>
        <w:rPr>
          <w:rFonts w:ascii="Calibri" w:hAnsi="Calibri" w:cs="Calibri"/>
          <w:lang w:val="en-US"/>
        </w:rPr>
        <w:t xml:space="preserve">9% of all callers </w:t>
      </w:r>
      <w:r w:rsidR="00AA1981">
        <w:rPr>
          <w:rFonts w:ascii="Calibri" w:hAnsi="Calibri" w:cs="Calibri"/>
          <w:lang w:val="en-US"/>
        </w:rPr>
        <w:t xml:space="preserve">who contacted CISs about </w:t>
      </w:r>
      <w:r>
        <w:rPr>
          <w:rFonts w:ascii="Calibri" w:hAnsi="Calibri" w:cs="Calibri"/>
          <w:lang w:val="en-US"/>
        </w:rPr>
        <w:t xml:space="preserve">social welfare </w:t>
      </w:r>
      <w:r w:rsidR="00A10491">
        <w:rPr>
          <w:rFonts w:ascii="Calibri" w:hAnsi="Calibri" w:cs="Calibri"/>
          <w:lang w:val="en-US"/>
        </w:rPr>
        <w:t xml:space="preserve">were in </w:t>
      </w:r>
      <w:r>
        <w:rPr>
          <w:rFonts w:ascii="Calibri" w:hAnsi="Calibri" w:cs="Calibri"/>
          <w:lang w:val="en-US"/>
        </w:rPr>
        <w:t>the 46-65 age category.</w:t>
      </w:r>
    </w:p>
    <w:p w14:paraId="4D3F7CF0" w14:textId="44CBCEC9" w:rsidR="00F87243" w:rsidRDefault="00014A76" w:rsidP="00086128">
      <w:pPr>
        <w:spacing w:line="240" w:lineRule="auto"/>
        <w:ind w:left="360"/>
        <w:rPr>
          <w:rFonts w:ascii="Calibri" w:hAnsi="Calibri" w:cs="Calibri"/>
          <w:lang w:val="en-US"/>
        </w:rPr>
      </w:pPr>
      <w:r w:rsidRPr="00014A76">
        <w:rPr>
          <w:rFonts w:ascii="Calibri" w:hAnsi="Calibri" w:cs="Calibri"/>
          <w:lang w:val="en-US"/>
        </w:rPr>
        <w:t>60.3%</w:t>
      </w:r>
      <w:r>
        <w:rPr>
          <w:rFonts w:ascii="Calibri" w:hAnsi="Calibri" w:cs="Calibri"/>
          <w:lang w:val="en-US"/>
        </w:rPr>
        <w:t xml:space="preserve"> of call</w:t>
      </w:r>
      <w:r w:rsidR="00FE5664">
        <w:rPr>
          <w:rFonts w:ascii="Calibri" w:hAnsi="Calibri" w:cs="Calibri"/>
          <w:lang w:val="en-US"/>
        </w:rPr>
        <w:t>er</w:t>
      </w:r>
      <w:r>
        <w:rPr>
          <w:rFonts w:ascii="Calibri" w:hAnsi="Calibri" w:cs="Calibri"/>
          <w:lang w:val="en-US"/>
        </w:rPr>
        <w:t xml:space="preserve">s </w:t>
      </w:r>
      <w:r w:rsidR="00884628">
        <w:rPr>
          <w:rFonts w:ascii="Calibri" w:hAnsi="Calibri" w:cs="Calibri"/>
          <w:lang w:val="en-US"/>
        </w:rPr>
        <w:t>who contacted CISs relating to</w:t>
      </w:r>
      <w:r>
        <w:rPr>
          <w:rFonts w:ascii="Calibri" w:hAnsi="Calibri" w:cs="Calibri"/>
          <w:lang w:val="en-US"/>
        </w:rPr>
        <w:t xml:space="preserve"> </w:t>
      </w:r>
      <w:r w:rsidR="009A36D8">
        <w:rPr>
          <w:rFonts w:ascii="Calibri" w:hAnsi="Calibri" w:cs="Calibri"/>
          <w:lang w:val="en-US"/>
        </w:rPr>
        <w:t xml:space="preserve">payments for </w:t>
      </w:r>
      <w:r>
        <w:rPr>
          <w:rFonts w:ascii="Calibri" w:hAnsi="Calibri" w:cs="Calibri"/>
          <w:lang w:val="en-US"/>
        </w:rPr>
        <w:t>Older and Retired people came from the 46-65 age category.</w:t>
      </w:r>
    </w:p>
    <w:p w14:paraId="3EF1B432" w14:textId="788FD0CF" w:rsidR="00795A49" w:rsidRDefault="00795A49" w:rsidP="00086128">
      <w:pPr>
        <w:spacing w:line="240" w:lineRule="auto"/>
        <w:ind w:left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46.1% of callers </w:t>
      </w:r>
      <w:r w:rsidR="00A81C41">
        <w:rPr>
          <w:rFonts w:ascii="Calibri" w:hAnsi="Calibri" w:cs="Calibri"/>
          <w:lang w:val="en-US"/>
        </w:rPr>
        <w:t xml:space="preserve">enquiring </w:t>
      </w:r>
      <w:r>
        <w:rPr>
          <w:rFonts w:ascii="Calibri" w:hAnsi="Calibri" w:cs="Calibri"/>
          <w:lang w:val="en-US"/>
        </w:rPr>
        <w:t xml:space="preserve">about Extra Social Welfare Benefits </w:t>
      </w:r>
      <w:r w:rsidR="00A81C41">
        <w:rPr>
          <w:rFonts w:ascii="Calibri" w:hAnsi="Calibri" w:cs="Calibri"/>
          <w:lang w:val="en-US"/>
        </w:rPr>
        <w:t xml:space="preserve">were </w:t>
      </w:r>
      <w:r w:rsidR="00A81735">
        <w:rPr>
          <w:rFonts w:ascii="Calibri" w:hAnsi="Calibri" w:cs="Calibri"/>
          <w:lang w:val="en-US"/>
        </w:rPr>
        <w:t>in the</w:t>
      </w:r>
      <w:r w:rsidR="00AE3F2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66 and </w:t>
      </w:r>
      <w:r w:rsidR="00A81C41">
        <w:rPr>
          <w:rFonts w:ascii="Calibri" w:hAnsi="Calibri" w:cs="Calibri"/>
          <w:lang w:val="en-US"/>
        </w:rPr>
        <w:t>o</w:t>
      </w:r>
      <w:r>
        <w:rPr>
          <w:rFonts w:ascii="Calibri" w:hAnsi="Calibri" w:cs="Calibri"/>
          <w:lang w:val="en-US"/>
        </w:rPr>
        <w:t>ver age group.</w:t>
      </w:r>
    </w:p>
    <w:p w14:paraId="3801FF3A" w14:textId="6007595D" w:rsidR="00795A49" w:rsidRDefault="00795A49" w:rsidP="00086128">
      <w:pPr>
        <w:spacing w:line="240" w:lineRule="auto"/>
        <w:ind w:left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Nearly 50% of all </w:t>
      </w:r>
      <w:r w:rsidR="00AA1981">
        <w:rPr>
          <w:rFonts w:ascii="Calibri" w:hAnsi="Calibri" w:cs="Calibri"/>
          <w:lang w:val="en-US"/>
        </w:rPr>
        <w:t>callers</w:t>
      </w:r>
      <w:r>
        <w:rPr>
          <w:rFonts w:ascii="Calibri" w:hAnsi="Calibri" w:cs="Calibri"/>
          <w:lang w:val="en-US"/>
        </w:rPr>
        <w:t xml:space="preserve"> </w:t>
      </w:r>
      <w:r w:rsidR="00884628">
        <w:rPr>
          <w:rFonts w:ascii="Calibri" w:hAnsi="Calibri" w:cs="Calibri"/>
          <w:lang w:val="en-US"/>
        </w:rPr>
        <w:t xml:space="preserve">who contacted </w:t>
      </w:r>
      <w:r w:rsidR="00AE3F23">
        <w:rPr>
          <w:rFonts w:ascii="Calibri" w:hAnsi="Calibri" w:cs="Calibri"/>
          <w:lang w:val="en-US"/>
        </w:rPr>
        <w:t xml:space="preserve">CISs </w:t>
      </w:r>
      <w:r w:rsidR="00884628">
        <w:rPr>
          <w:rFonts w:ascii="Calibri" w:hAnsi="Calibri" w:cs="Calibri"/>
          <w:lang w:val="en-US"/>
        </w:rPr>
        <w:t>about</w:t>
      </w:r>
      <w:r w:rsidR="009A36D8">
        <w:rPr>
          <w:rFonts w:ascii="Calibri" w:hAnsi="Calibri" w:cs="Calibri"/>
          <w:lang w:val="en-US"/>
        </w:rPr>
        <w:t xml:space="preserve"> payments for u</w:t>
      </w:r>
      <w:r>
        <w:rPr>
          <w:rFonts w:ascii="Calibri" w:hAnsi="Calibri" w:cs="Calibri"/>
          <w:lang w:val="en-US"/>
        </w:rPr>
        <w:t xml:space="preserve">nemployed </w:t>
      </w:r>
      <w:r w:rsidR="009A36D8"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  <w:lang w:val="en-US"/>
        </w:rPr>
        <w:t>eople came from the 26-45 age group, and 42.1% came from the 46-65s.</w:t>
      </w:r>
    </w:p>
    <w:p w14:paraId="75035044" w14:textId="4EBA0ECA" w:rsidR="00795A49" w:rsidRDefault="00795A49" w:rsidP="00086128">
      <w:pPr>
        <w:spacing w:line="240" w:lineRule="auto"/>
        <w:ind w:left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41.6% of </w:t>
      </w:r>
      <w:r w:rsidRPr="00972FE7">
        <w:rPr>
          <w:rFonts w:ascii="Calibri" w:hAnsi="Calibri" w:cs="Calibri"/>
          <w:i/>
          <w:lang w:val="en-US"/>
        </w:rPr>
        <w:t>all</w:t>
      </w:r>
      <w:r>
        <w:rPr>
          <w:rFonts w:ascii="Calibri" w:hAnsi="Calibri" w:cs="Calibri"/>
          <w:lang w:val="en-US"/>
        </w:rPr>
        <w:t xml:space="preserve"> call</w:t>
      </w:r>
      <w:r w:rsidR="00884628">
        <w:rPr>
          <w:rFonts w:ascii="Calibri" w:hAnsi="Calibri" w:cs="Calibri"/>
          <w:lang w:val="en-US"/>
        </w:rPr>
        <w:t>s relating</w:t>
      </w:r>
      <w:r>
        <w:rPr>
          <w:rFonts w:ascii="Calibri" w:hAnsi="Calibri" w:cs="Calibri"/>
          <w:lang w:val="en-US"/>
        </w:rPr>
        <w:t xml:space="preserve"> to social welfare last between 11-20 minutes.</w:t>
      </w:r>
    </w:p>
    <w:p w14:paraId="3ED9904A" w14:textId="77777777" w:rsidR="00014A76" w:rsidRPr="00086128" w:rsidRDefault="00014A76" w:rsidP="00086128">
      <w:pPr>
        <w:spacing w:line="240" w:lineRule="auto"/>
        <w:ind w:left="360"/>
        <w:rPr>
          <w:rFonts w:ascii="Calibri" w:hAnsi="Calibri" w:cs="Calibri"/>
          <w:lang w:val="en-US"/>
        </w:rPr>
      </w:pPr>
    </w:p>
    <w:p w14:paraId="2C6261AB" w14:textId="76540982" w:rsidR="00077BA9" w:rsidRPr="00673AF1" w:rsidRDefault="002816B7" w:rsidP="00673AF1">
      <w:pPr>
        <w:spacing w:line="259" w:lineRule="auto"/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  <w:lang w:val="en-US"/>
        </w:rPr>
      </w:pPr>
      <w:r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  <w:lang w:val="en-US"/>
        </w:rPr>
        <w:t xml:space="preserve">Table </w:t>
      </w:r>
      <w:r w:rsidR="003D0788"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  <w:lang w:val="en-US"/>
        </w:rPr>
        <w:t>10</w:t>
      </w:r>
      <w:r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  <w:lang w:val="en-US"/>
        </w:rPr>
        <w:t>: % Changes for social welfare sub-categories between Q1 2023 – Q1 2024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355"/>
        <w:gridCol w:w="2320"/>
        <w:gridCol w:w="2320"/>
        <w:gridCol w:w="2327"/>
      </w:tblGrid>
      <w:tr w:rsidR="00077BA9" w14:paraId="6B714706" w14:textId="77777777" w:rsidTr="00077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1F49B7FC" w14:textId="4F277D50" w:rsidR="00077BA9" w:rsidRDefault="00077BA9" w:rsidP="00077BA9">
            <w:pPr>
              <w:spacing w:line="240" w:lineRule="auto"/>
              <w:rPr>
                <w:rFonts w:asciiTheme="majorHAnsi" w:eastAsiaTheme="majorEastAsia" w:hAnsiTheme="majorHAnsi" w:cstheme="majorBidi"/>
                <w:b w:val="0"/>
                <w:color w:val="1481AB" w:themeColor="accent1" w:themeShade="BF"/>
                <w:sz w:val="24"/>
                <w:szCs w:val="24"/>
                <w:lang w:val="en-US"/>
              </w:rPr>
            </w:pPr>
            <w:r w:rsidRPr="00077B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Sub</w:t>
            </w:r>
            <w:r w:rsidR="002816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-</w:t>
            </w:r>
            <w:r w:rsidRPr="00077B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Category</w:t>
            </w:r>
          </w:p>
        </w:tc>
        <w:tc>
          <w:tcPr>
            <w:tcW w:w="2387" w:type="dxa"/>
          </w:tcPr>
          <w:p w14:paraId="6A241011" w14:textId="76940363" w:rsidR="00077BA9" w:rsidRPr="00077BA9" w:rsidRDefault="00077BA9" w:rsidP="002816B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77B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Q1 2023</w:t>
            </w:r>
          </w:p>
        </w:tc>
        <w:tc>
          <w:tcPr>
            <w:tcW w:w="2387" w:type="dxa"/>
          </w:tcPr>
          <w:p w14:paraId="04894DFF" w14:textId="58DF6EDA" w:rsidR="00077BA9" w:rsidRPr="00077BA9" w:rsidRDefault="00077BA9" w:rsidP="002816B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77B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Q1 2024</w:t>
            </w:r>
          </w:p>
        </w:tc>
        <w:tc>
          <w:tcPr>
            <w:tcW w:w="2387" w:type="dxa"/>
          </w:tcPr>
          <w:p w14:paraId="2281DFBE" w14:textId="1D9EF227" w:rsidR="00077BA9" w:rsidRPr="00077BA9" w:rsidRDefault="00077BA9" w:rsidP="002816B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77B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 Change</w:t>
            </w:r>
            <w:r w:rsidR="002816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Q1 23- Q1 24</w:t>
            </w:r>
          </w:p>
        </w:tc>
      </w:tr>
      <w:tr w:rsidR="00077BA9" w14:paraId="78BE48E3" w14:textId="77777777" w:rsidTr="00077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73BEAA90" w14:textId="61982FAE" w:rsidR="00077BA9" w:rsidRPr="002816B7" w:rsidRDefault="00077BA9" w:rsidP="002816B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lang w:eastAsia="en-IE"/>
              </w:rPr>
              <w:t>Disability &amp; Illness</w:t>
            </w:r>
          </w:p>
        </w:tc>
        <w:tc>
          <w:tcPr>
            <w:tcW w:w="2387" w:type="dxa"/>
          </w:tcPr>
          <w:p w14:paraId="74A23A0A" w14:textId="0B843C83" w:rsidR="00077BA9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15,</w:t>
            </w:r>
            <w:r w:rsidR="00FE5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476</w:t>
            </w:r>
          </w:p>
        </w:tc>
        <w:tc>
          <w:tcPr>
            <w:tcW w:w="2387" w:type="dxa"/>
          </w:tcPr>
          <w:p w14:paraId="0E9988D9" w14:textId="7F37E38B" w:rsidR="00077BA9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14,283</w:t>
            </w:r>
          </w:p>
        </w:tc>
        <w:tc>
          <w:tcPr>
            <w:tcW w:w="2387" w:type="dxa"/>
          </w:tcPr>
          <w:p w14:paraId="3323A002" w14:textId="02DE1A68" w:rsidR="00077BA9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7.7</w:t>
            </w: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77BA9" w14:paraId="70922F8B" w14:textId="77777777" w:rsidTr="00077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36FF1657" w14:textId="6AD9C49B" w:rsidR="00077BA9" w:rsidRPr="002816B7" w:rsidRDefault="00077BA9" w:rsidP="002816B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lang w:eastAsia="en-IE"/>
              </w:rPr>
              <w:t>Older and Retired People</w:t>
            </w:r>
          </w:p>
        </w:tc>
        <w:tc>
          <w:tcPr>
            <w:tcW w:w="2387" w:type="dxa"/>
          </w:tcPr>
          <w:p w14:paraId="7308D467" w14:textId="0E6935C1" w:rsidR="00077BA9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14,079</w:t>
            </w:r>
          </w:p>
        </w:tc>
        <w:tc>
          <w:tcPr>
            <w:tcW w:w="2387" w:type="dxa"/>
          </w:tcPr>
          <w:p w14:paraId="34C97A97" w14:textId="389DE64B" w:rsidR="00077BA9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13,827</w:t>
            </w:r>
          </w:p>
        </w:tc>
        <w:tc>
          <w:tcPr>
            <w:tcW w:w="2387" w:type="dxa"/>
          </w:tcPr>
          <w:p w14:paraId="3070C068" w14:textId="1D3CA1FC" w:rsidR="00077BA9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-1.8%</w:t>
            </w:r>
          </w:p>
        </w:tc>
      </w:tr>
      <w:tr w:rsidR="00077BA9" w14:paraId="67A2DC93" w14:textId="77777777" w:rsidTr="00077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3336D890" w14:textId="141BFE64" w:rsidR="00077BA9" w:rsidRPr="002816B7" w:rsidRDefault="00077BA9" w:rsidP="002816B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lang w:eastAsia="en-IE"/>
              </w:rPr>
              <w:t>Extra Social Welfare Benefits</w:t>
            </w:r>
          </w:p>
        </w:tc>
        <w:tc>
          <w:tcPr>
            <w:tcW w:w="2387" w:type="dxa"/>
          </w:tcPr>
          <w:p w14:paraId="5A1EE9E6" w14:textId="4C066F8C" w:rsidR="00077BA9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18,309</w:t>
            </w:r>
          </w:p>
        </w:tc>
        <w:tc>
          <w:tcPr>
            <w:tcW w:w="2387" w:type="dxa"/>
          </w:tcPr>
          <w:p w14:paraId="6EFFF15F" w14:textId="7332920C" w:rsidR="00077BA9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12,625</w:t>
            </w:r>
          </w:p>
        </w:tc>
        <w:tc>
          <w:tcPr>
            <w:tcW w:w="2387" w:type="dxa"/>
          </w:tcPr>
          <w:p w14:paraId="6BDBBB07" w14:textId="071DD439" w:rsidR="00077BA9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-31.0%</w:t>
            </w:r>
          </w:p>
        </w:tc>
      </w:tr>
      <w:tr w:rsidR="00077BA9" w14:paraId="57F23AE6" w14:textId="77777777" w:rsidTr="00077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6DF4D5EE" w14:textId="4A88E0A7" w:rsidR="00077BA9" w:rsidRPr="002816B7" w:rsidRDefault="00077BA9" w:rsidP="002816B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lang w:eastAsia="en-IE"/>
              </w:rPr>
              <w:t>Carers</w:t>
            </w:r>
          </w:p>
        </w:tc>
        <w:tc>
          <w:tcPr>
            <w:tcW w:w="2387" w:type="dxa"/>
          </w:tcPr>
          <w:p w14:paraId="64C00631" w14:textId="5C1C3F37" w:rsidR="00077BA9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10,589</w:t>
            </w:r>
          </w:p>
        </w:tc>
        <w:tc>
          <w:tcPr>
            <w:tcW w:w="2387" w:type="dxa"/>
          </w:tcPr>
          <w:p w14:paraId="35BA7405" w14:textId="3726FEE6" w:rsidR="00077BA9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9,855</w:t>
            </w:r>
          </w:p>
        </w:tc>
        <w:tc>
          <w:tcPr>
            <w:tcW w:w="2387" w:type="dxa"/>
          </w:tcPr>
          <w:p w14:paraId="4D01C513" w14:textId="0EB88C5C" w:rsidR="00077BA9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-6.9%</w:t>
            </w:r>
          </w:p>
        </w:tc>
      </w:tr>
      <w:tr w:rsidR="00077BA9" w14:paraId="1FD7D53E" w14:textId="77777777" w:rsidTr="00077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02CA70F6" w14:textId="21DDAF05" w:rsidR="00077BA9" w:rsidRPr="002816B7" w:rsidRDefault="00077BA9" w:rsidP="002816B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lang w:eastAsia="en-IE"/>
              </w:rPr>
              <w:t>Families and Children</w:t>
            </w:r>
          </w:p>
        </w:tc>
        <w:tc>
          <w:tcPr>
            <w:tcW w:w="2387" w:type="dxa"/>
          </w:tcPr>
          <w:p w14:paraId="2B5C33F5" w14:textId="5E70F7B2" w:rsidR="00077BA9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10,143</w:t>
            </w:r>
          </w:p>
        </w:tc>
        <w:tc>
          <w:tcPr>
            <w:tcW w:w="2387" w:type="dxa"/>
          </w:tcPr>
          <w:p w14:paraId="0B420664" w14:textId="63BC05BD" w:rsidR="00077BA9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8,622</w:t>
            </w:r>
          </w:p>
        </w:tc>
        <w:tc>
          <w:tcPr>
            <w:tcW w:w="2387" w:type="dxa"/>
          </w:tcPr>
          <w:p w14:paraId="7EFBE046" w14:textId="73F158AB" w:rsidR="00077BA9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-15.0%</w:t>
            </w:r>
          </w:p>
        </w:tc>
      </w:tr>
      <w:tr w:rsidR="00077BA9" w14:paraId="7EF98DB2" w14:textId="77777777" w:rsidTr="00077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361C7015" w14:textId="4A3F01D1" w:rsidR="00077BA9" w:rsidRPr="002816B7" w:rsidRDefault="00077BA9" w:rsidP="002816B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lang w:eastAsia="en-IE"/>
              </w:rPr>
              <w:t>Unemployed People</w:t>
            </w:r>
          </w:p>
        </w:tc>
        <w:tc>
          <w:tcPr>
            <w:tcW w:w="2387" w:type="dxa"/>
          </w:tcPr>
          <w:p w14:paraId="7C04B72F" w14:textId="58D73A5B" w:rsidR="00077BA9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8,397</w:t>
            </w:r>
          </w:p>
        </w:tc>
        <w:tc>
          <w:tcPr>
            <w:tcW w:w="2387" w:type="dxa"/>
          </w:tcPr>
          <w:p w14:paraId="5BF472F2" w14:textId="3AB375AE" w:rsidR="00077BA9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7,983</w:t>
            </w:r>
          </w:p>
        </w:tc>
        <w:tc>
          <w:tcPr>
            <w:tcW w:w="2387" w:type="dxa"/>
          </w:tcPr>
          <w:p w14:paraId="4BEA84E8" w14:textId="5E0C09AB" w:rsidR="00077BA9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-4.9%</w:t>
            </w:r>
          </w:p>
        </w:tc>
      </w:tr>
      <w:tr w:rsidR="00077BA9" w14:paraId="3589A43E" w14:textId="77777777" w:rsidTr="00077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46BDE890" w14:textId="536E618C" w:rsidR="00077BA9" w:rsidRPr="002816B7" w:rsidRDefault="00077BA9" w:rsidP="002816B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lang w:eastAsia="en-IE"/>
              </w:rPr>
              <w:t>Supplementary Welfare Scheme</w:t>
            </w:r>
          </w:p>
        </w:tc>
        <w:tc>
          <w:tcPr>
            <w:tcW w:w="2387" w:type="dxa"/>
          </w:tcPr>
          <w:p w14:paraId="7E8FC2BC" w14:textId="7DB77301" w:rsidR="00077BA9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8,517</w:t>
            </w:r>
          </w:p>
        </w:tc>
        <w:tc>
          <w:tcPr>
            <w:tcW w:w="2387" w:type="dxa"/>
          </w:tcPr>
          <w:p w14:paraId="6C2EB21C" w14:textId="18105698" w:rsidR="00077BA9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7,565</w:t>
            </w:r>
          </w:p>
        </w:tc>
        <w:tc>
          <w:tcPr>
            <w:tcW w:w="2387" w:type="dxa"/>
          </w:tcPr>
          <w:p w14:paraId="5673DA46" w14:textId="6004F152" w:rsidR="00077BA9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-11.2%</w:t>
            </w:r>
          </w:p>
        </w:tc>
      </w:tr>
      <w:tr w:rsidR="00077BA9" w14:paraId="2D49B64B" w14:textId="77777777" w:rsidTr="00077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4A5A56D2" w14:textId="487D5EAF" w:rsidR="00077BA9" w:rsidRPr="002816B7" w:rsidRDefault="00077BA9" w:rsidP="002816B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lang w:eastAsia="en-IE"/>
              </w:rPr>
              <w:t>Social Insurance (PRSI)</w:t>
            </w:r>
          </w:p>
        </w:tc>
        <w:tc>
          <w:tcPr>
            <w:tcW w:w="2387" w:type="dxa"/>
          </w:tcPr>
          <w:p w14:paraId="06C196CD" w14:textId="5FCE7B4F" w:rsidR="00077BA9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5,490</w:t>
            </w:r>
          </w:p>
        </w:tc>
        <w:tc>
          <w:tcPr>
            <w:tcW w:w="2387" w:type="dxa"/>
          </w:tcPr>
          <w:p w14:paraId="4BC2E826" w14:textId="1DE0A213" w:rsidR="00077BA9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5,113</w:t>
            </w:r>
          </w:p>
        </w:tc>
        <w:tc>
          <w:tcPr>
            <w:tcW w:w="2387" w:type="dxa"/>
          </w:tcPr>
          <w:p w14:paraId="0F50E40E" w14:textId="1494E0EF" w:rsidR="00077BA9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-6.9%</w:t>
            </w:r>
          </w:p>
        </w:tc>
      </w:tr>
      <w:tr w:rsidR="00077BA9" w14:paraId="64230221" w14:textId="77777777" w:rsidTr="00077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4EDB0A11" w14:textId="77ACE448" w:rsidR="00077BA9" w:rsidRPr="002816B7" w:rsidRDefault="002816B7" w:rsidP="002816B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lang w:eastAsia="en-IE"/>
              </w:rPr>
              <w:t>Social Welfare Miscellaneous</w:t>
            </w:r>
          </w:p>
        </w:tc>
        <w:tc>
          <w:tcPr>
            <w:tcW w:w="2387" w:type="dxa"/>
          </w:tcPr>
          <w:p w14:paraId="441E1F18" w14:textId="650301F8" w:rsidR="00077BA9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5,558</w:t>
            </w:r>
          </w:p>
        </w:tc>
        <w:tc>
          <w:tcPr>
            <w:tcW w:w="2387" w:type="dxa"/>
          </w:tcPr>
          <w:p w14:paraId="529BAB4B" w14:textId="2B59F4A0" w:rsidR="00077BA9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4,775</w:t>
            </w:r>
          </w:p>
        </w:tc>
        <w:tc>
          <w:tcPr>
            <w:tcW w:w="2387" w:type="dxa"/>
          </w:tcPr>
          <w:p w14:paraId="39073257" w14:textId="70B68222" w:rsidR="00077BA9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-14.1%</w:t>
            </w:r>
          </w:p>
        </w:tc>
      </w:tr>
      <w:tr w:rsidR="002816B7" w14:paraId="1B12725E" w14:textId="77777777" w:rsidTr="00077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696CF37E" w14:textId="5986A3F7" w:rsidR="002816B7" w:rsidRPr="002816B7" w:rsidRDefault="002816B7" w:rsidP="002816B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lang w:eastAsia="en-IE"/>
              </w:rPr>
              <w:t>Death Related Benefits</w:t>
            </w:r>
          </w:p>
        </w:tc>
        <w:tc>
          <w:tcPr>
            <w:tcW w:w="2387" w:type="dxa"/>
          </w:tcPr>
          <w:p w14:paraId="13C61AE4" w14:textId="1B0F395B" w:rsidR="002816B7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1,487</w:t>
            </w:r>
          </w:p>
        </w:tc>
        <w:tc>
          <w:tcPr>
            <w:tcW w:w="2387" w:type="dxa"/>
          </w:tcPr>
          <w:p w14:paraId="320268CE" w14:textId="2B935758" w:rsidR="002816B7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1,440</w:t>
            </w:r>
          </w:p>
        </w:tc>
        <w:tc>
          <w:tcPr>
            <w:tcW w:w="2387" w:type="dxa"/>
          </w:tcPr>
          <w:p w14:paraId="217B87B8" w14:textId="41F19095" w:rsidR="002816B7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-3.2%</w:t>
            </w:r>
          </w:p>
        </w:tc>
      </w:tr>
      <w:tr w:rsidR="002816B7" w14:paraId="4156003D" w14:textId="77777777" w:rsidTr="00077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4CDDF80D" w14:textId="7CB5E8B6" w:rsidR="002816B7" w:rsidRPr="002816B7" w:rsidRDefault="002816B7" w:rsidP="002816B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lang w:eastAsia="en-IE"/>
              </w:rPr>
              <w:t>Benefits Check</w:t>
            </w:r>
          </w:p>
        </w:tc>
        <w:tc>
          <w:tcPr>
            <w:tcW w:w="2387" w:type="dxa"/>
          </w:tcPr>
          <w:p w14:paraId="7A81F57E" w14:textId="77748C81" w:rsidR="002816B7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1,071</w:t>
            </w:r>
          </w:p>
        </w:tc>
        <w:tc>
          <w:tcPr>
            <w:tcW w:w="2387" w:type="dxa"/>
          </w:tcPr>
          <w:p w14:paraId="66B3DCC1" w14:textId="569C5A28" w:rsidR="002816B7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1,255</w:t>
            </w:r>
          </w:p>
        </w:tc>
        <w:tc>
          <w:tcPr>
            <w:tcW w:w="2387" w:type="dxa"/>
          </w:tcPr>
          <w:p w14:paraId="1D28CD3B" w14:textId="60A9BCDE" w:rsidR="002816B7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-17.2%</w:t>
            </w:r>
          </w:p>
        </w:tc>
      </w:tr>
      <w:tr w:rsidR="002816B7" w14:paraId="7A685097" w14:textId="77777777" w:rsidTr="00077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78A8EEBE" w14:textId="7D5F0FA8" w:rsidR="002816B7" w:rsidRPr="002816B7" w:rsidRDefault="002816B7" w:rsidP="002816B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lang w:eastAsia="en-IE"/>
              </w:rPr>
              <w:t>Appeals</w:t>
            </w:r>
          </w:p>
        </w:tc>
        <w:tc>
          <w:tcPr>
            <w:tcW w:w="2387" w:type="dxa"/>
          </w:tcPr>
          <w:p w14:paraId="03DBE8F0" w14:textId="4F345451" w:rsidR="002816B7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1,415</w:t>
            </w:r>
          </w:p>
        </w:tc>
        <w:tc>
          <w:tcPr>
            <w:tcW w:w="2387" w:type="dxa"/>
          </w:tcPr>
          <w:p w14:paraId="2683E0AF" w14:textId="4120B42D" w:rsidR="002816B7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1,240</w:t>
            </w:r>
          </w:p>
        </w:tc>
        <w:tc>
          <w:tcPr>
            <w:tcW w:w="2387" w:type="dxa"/>
          </w:tcPr>
          <w:p w14:paraId="2C4F5478" w14:textId="1F0104A6" w:rsidR="002816B7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-12.4%</w:t>
            </w:r>
          </w:p>
        </w:tc>
      </w:tr>
      <w:tr w:rsidR="002816B7" w14:paraId="64495B21" w14:textId="77777777" w:rsidTr="00077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3FAAF581" w14:textId="76DDA192" w:rsidR="002816B7" w:rsidRPr="002816B7" w:rsidRDefault="002816B7" w:rsidP="002816B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lang w:eastAsia="en-IE"/>
              </w:rPr>
              <w:t>Activation Schemes, Education and Training</w:t>
            </w:r>
          </w:p>
        </w:tc>
        <w:tc>
          <w:tcPr>
            <w:tcW w:w="2387" w:type="dxa"/>
          </w:tcPr>
          <w:p w14:paraId="1C993014" w14:textId="4763EABF" w:rsidR="002816B7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1,319</w:t>
            </w:r>
          </w:p>
        </w:tc>
        <w:tc>
          <w:tcPr>
            <w:tcW w:w="2387" w:type="dxa"/>
          </w:tcPr>
          <w:p w14:paraId="3BD63D6B" w14:textId="1E057DE4" w:rsidR="002816B7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1,227</w:t>
            </w:r>
          </w:p>
        </w:tc>
        <w:tc>
          <w:tcPr>
            <w:tcW w:w="2387" w:type="dxa"/>
          </w:tcPr>
          <w:p w14:paraId="24FEF6A8" w14:textId="0FC8AC8F" w:rsidR="002816B7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-7.0%</w:t>
            </w:r>
          </w:p>
        </w:tc>
      </w:tr>
      <w:tr w:rsidR="002816B7" w14:paraId="3CFA0176" w14:textId="77777777" w:rsidTr="00077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0D4D3304" w14:textId="0C756506" w:rsidR="002816B7" w:rsidRPr="002816B7" w:rsidRDefault="002816B7" w:rsidP="002816B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lang w:eastAsia="en-IE"/>
              </w:rPr>
              <w:t>Social Welfare – Payments and work</w:t>
            </w:r>
          </w:p>
        </w:tc>
        <w:tc>
          <w:tcPr>
            <w:tcW w:w="2387" w:type="dxa"/>
          </w:tcPr>
          <w:p w14:paraId="65AACED5" w14:textId="5D0AE5B8" w:rsidR="002816B7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747</w:t>
            </w:r>
          </w:p>
        </w:tc>
        <w:tc>
          <w:tcPr>
            <w:tcW w:w="2387" w:type="dxa"/>
          </w:tcPr>
          <w:p w14:paraId="64CDABED" w14:textId="712FD821" w:rsidR="002816B7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762</w:t>
            </w:r>
          </w:p>
        </w:tc>
        <w:tc>
          <w:tcPr>
            <w:tcW w:w="2387" w:type="dxa"/>
          </w:tcPr>
          <w:p w14:paraId="4149882D" w14:textId="39D40582" w:rsidR="002816B7" w:rsidRPr="002816B7" w:rsidRDefault="002816B7" w:rsidP="002816B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+2.0%</w:t>
            </w:r>
          </w:p>
        </w:tc>
      </w:tr>
      <w:tr w:rsidR="002816B7" w14:paraId="49441EE6" w14:textId="77777777" w:rsidTr="00077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647A5301" w14:textId="49DEA2B1" w:rsidR="002816B7" w:rsidRPr="002816B7" w:rsidRDefault="002816B7" w:rsidP="002816B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color w:val="000000"/>
                <w:lang w:eastAsia="en-IE"/>
              </w:rPr>
              <w:t>Farmers</w:t>
            </w:r>
          </w:p>
        </w:tc>
        <w:tc>
          <w:tcPr>
            <w:tcW w:w="2387" w:type="dxa"/>
          </w:tcPr>
          <w:p w14:paraId="43CF4480" w14:textId="01DE141B" w:rsidR="002816B7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190</w:t>
            </w:r>
          </w:p>
        </w:tc>
        <w:tc>
          <w:tcPr>
            <w:tcW w:w="2387" w:type="dxa"/>
          </w:tcPr>
          <w:p w14:paraId="0183B500" w14:textId="3AB97A3F" w:rsidR="002816B7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200</w:t>
            </w:r>
          </w:p>
        </w:tc>
        <w:tc>
          <w:tcPr>
            <w:tcW w:w="2387" w:type="dxa"/>
          </w:tcPr>
          <w:p w14:paraId="34C373F4" w14:textId="0A300BBA" w:rsidR="002816B7" w:rsidRPr="002816B7" w:rsidRDefault="002816B7" w:rsidP="002816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281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+5.3%</w:t>
            </w:r>
          </w:p>
        </w:tc>
      </w:tr>
    </w:tbl>
    <w:p w14:paraId="478E9AA7" w14:textId="617DA651" w:rsidR="00351D72" w:rsidRPr="00673AF1" w:rsidRDefault="00351D72" w:rsidP="00673AF1">
      <w:pPr>
        <w:spacing w:line="259" w:lineRule="auto"/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  <w:lang w:val="en-US"/>
        </w:rPr>
        <w:sectPr w:rsidR="00351D72" w:rsidRPr="00673AF1" w:rsidSect="00681F13">
          <w:pgSz w:w="11906" w:h="16838"/>
          <w:pgMar w:top="1440" w:right="1440" w:bottom="1440" w:left="1134" w:header="709" w:footer="709" w:gutter="0"/>
          <w:cols w:space="708"/>
          <w:docGrid w:linePitch="360"/>
        </w:sectPr>
      </w:pPr>
    </w:p>
    <w:p w14:paraId="7591573F" w14:textId="1FE98B89" w:rsidR="00361EF3" w:rsidRDefault="00B60276" w:rsidP="005854F7">
      <w:pPr>
        <w:pStyle w:val="Heading1"/>
        <w:rPr>
          <w:b/>
          <w:sz w:val="24"/>
          <w:szCs w:val="24"/>
          <w:lang w:val="en-US"/>
        </w:rPr>
      </w:pPr>
      <w:r w:rsidRPr="000C2E61">
        <w:rPr>
          <w:b/>
          <w:sz w:val="24"/>
          <w:szCs w:val="24"/>
          <w:lang w:val="en-US"/>
        </w:rPr>
        <w:lastRenderedPageBreak/>
        <w:t xml:space="preserve">Table </w:t>
      </w:r>
      <w:r w:rsidR="002816B7">
        <w:rPr>
          <w:b/>
          <w:sz w:val="24"/>
          <w:szCs w:val="24"/>
          <w:lang w:val="en-US"/>
        </w:rPr>
        <w:t>1</w:t>
      </w:r>
      <w:r w:rsidR="003D0788">
        <w:rPr>
          <w:b/>
          <w:sz w:val="24"/>
          <w:szCs w:val="24"/>
          <w:lang w:val="en-US"/>
        </w:rPr>
        <w:t>1</w:t>
      </w:r>
      <w:r w:rsidRPr="000C2E61">
        <w:rPr>
          <w:b/>
          <w:sz w:val="24"/>
          <w:szCs w:val="24"/>
          <w:lang w:val="en-US"/>
        </w:rPr>
        <w:t xml:space="preserve"> – Social Welfare Query Breakdown</w:t>
      </w:r>
      <w:r w:rsidR="00593B45">
        <w:rPr>
          <w:b/>
          <w:sz w:val="24"/>
          <w:szCs w:val="24"/>
          <w:lang w:val="en-US"/>
        </w:rPr>
        <w:t>, Q1</w:t>
      </w:r>
      <w:r w:rsidR="00361EF3">
        <w:rPr>
          <w:b/>
          <w:sz w:val="24"/>
          <w:szCs w:val="24"/>
          <w:lang w:val="en-US"/>
        </w:rPr>
        <w:t xml:space="preserve"> 202</w:t>
      </w:r>
      <w:r w:rsidR="00AB1326">
        <w:rPr>
          <w:b/>
          <w:sz w:val="24"/>
          <w:szCs w:val="24"/>
          <w:lang w:val="en-US"/>
        </w:rPr>
        <w:t>4</w:t>
      </w:r>
    </w:p>
    <w:p w14:paraId="0C1C76A6" w14:textId="77777777" w:rsidR="00C668A1" w:rsidRPr="00C668A1" w:rsidRDefault="00C668A1" w:rsidP="00C668A1">
      <w:pPr>
        <w:rPr>
          <w:lang w:val="en-US"/>
        </w:rPr>
      </w:pPr>
    </w:p>
    <w:tbl>
      <w:tblPr>
        <w:tblStyle w:val="GridTable5Dark-Accent6"/>
        <w:tblW w:w="13297" w:type="dxa"/>
        <w:tblLook w:val="04A0" w:firstRow="1" w:lastRow="0" w:firstColumn="1" w:lastColumn="0" w:noHBand="0" w:noVBand="1"/>
      </w:tblPr>
      <w:tblGrid>
        <w:gridCol w:w="1870"/>
        <w:gridCol w:w="3790"/>
        <w:gridCol w:w="4888"/>
        <w:gridCol w:w="1491"/>
        <w:gridCol w:w="1258"/>
      </w:tblGrid>
      <w:tr w:rsidR="00086782" w:rsidRPr="00CF2862" w14:paraId="21FBB9F2" w14:textId="77777777" w:rsidTr="002E3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hideMark/>
          </w:tcPr>
          <w:p w14:paraId="208322C6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3790" w:type="dxa"/>
            <w:noWrap/>
            <w:hideMark/>
          </w:tcPr>
          <w:p w14:paraId="61D9C338" w14:textId="77777777" w:rsidR="00CF2862" w:rsidRPr="00CF2862" w:rsidRDefault="00CF2862" w:rsidP="00CF28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4888" w:type="dxa"/>
            <w:hideMark/>
          </w:tcPr>
          <w:p w14:paraId="7A232B82" w14:textId="66A23197" w:rsidR="00CF2862" w:rsidRPr="00CF2862" w:rsidRDefault="00CF2862" w:rsidP="00CF28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Q1, 202</w:t>
            </w:r>
            <w:r w:rsidR="00AB13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4</w:t>
            </w:r>
            <w:r w:rsidRPr="00CF28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1491" w:type="dxa"/>
            <w:hideMark/>
          </w:tcPr>
          <w:p w14:paraId="32491735" w14:textId="77777777" w:rsidR="00CF2862" w:rsidRPr="00CF2862" w:rsidRDefault="00CF2862" w:rsidP="00CF28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1258" w:type="dxa"/>
            <w:hideMark/>
          </w:tcPr>
          <w:p w14:paraId="390C2532" w14:textId="77777777" w:rsidR="00CF2862" w:rsidRPr="00CF2862" w:rsidRDefault="00CF2862" w:rsidP="00CF28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lang w:eastAsia="en-IE"/>
              </w:rPr>
              <w:t>% of Social Welfare Sub-category</w:t>
            </w:r>
          </w:p>
        </w:tc>
      </w:tr>
      <w:tr w:rsidR="00CF2862" w:rsidRPr="00CF2862" w14:paraId="11AC50C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BC4382F" w14:textId="5B38E113" w:rsidR="00CF2862" w:rsidRPr="00076968" w:rsidRDefault="00F07155" w:rsidP="0049266B">
            <w:pPr>
              <w:tabs>
                <w:tab w:val="center" w:pos="6866"/>
                <w:tab w:val="right" w:pos="13081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C668A1" w:rsidRPr="00076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Disability &amp; </w:t>
            </w:r>
            <w:r w:rsidR="00A81735" w:rsidRPr="00076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Illness</w:t>
            </w:r>
            <w:r w:rsidR="00A817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A817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15.7%</w:t>
            </w:r>
          </w:p>
        </w:tc>
      </w:tr>
      <w:tr w:rsidR="00C668A1" w:rsidRPr="00CF2862" w14:paraId="5D300407" w14:textId="77777777" w:rsidTr="002E38D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AA36C69" w14:textId="109283DD" w:rsidR="00C668A1" w:rsidRPr="00CF2862" w:rsidRDefault="00C668A1" w:rsidP="00C668A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A82BFA1" w14:textId="58C4669C" w:rsidR="00C668A1" w:rsidRPr="00834785" w:rsidRDefault="00C668A1" w:rsidP="00C668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</w:tcPr>
          <w:p w14:paraId="54FE41E7" w14:textId="33EAE31F" w:rsidR="00C668A1" w:rsidRPr="007572B3" w:rsidRDefault="00C668A1" w:rsidP="00C668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Disability Allowance</w:t>
            </w:r>
          </w:p>
        </w:tc>
        <w:tc>
          <w:tcPr>
            <w:tcW w:w="1491" w:type="dxa"/>
            <w:noWrap/>
          </w:tcPr>
          <w:p w14:paraId="39332085" w14:textId="0C3DFE34" w:rsidR="00C668A1" w:rsidRPr="00CF2862" w:rsidRDefault="00686741" w:rsidP="00C668A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6,899</w:t>
            </w:r>
          </w:p>
        </w:tc>
        <w:tc>
          <w:tcPr>
            <w:tcW w:w="1258" w:type="dxa"/>
            <w:noWrap/>
          </w:tcPr>
          <w:p w14:paraId="797373D7" w14:textId="19BF9141" w:rsidR="00C668A1" w:rsidRPr="00CF2862" w:rsidRDefault="00C668A1" w:rsidP="00C668A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4</w:t>
            </w:r>
            <w:r w:rsidR="00686741">
              <w:rPr>
                <w:rFonts w:ascii="Calibri" w:hAnsi="Calibri" w:cs="Calibri"/>
                <w:sz w:val="20"/>
                <w:szCs w:val="20"/>
              </w:rPr>
              <w:t>8.3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EF49AC" w:rsidRPr="00CF2862" w14:paraId="37E5F681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6176360" w14:textId="6B7B38DA" w:rsidR="00EF49AC" w:rsidRPr="00CF2862" w:rsidRDefault="00EF49AC" w:rsidP="00EF49A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A4C23C2" w14:textId="309D67CF" w:rsidR="00EF49AC" w:rsidRPr="00834785" w:rsidRDefault="00EF49AC" w:rsidP="00EF49A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</w:tcPr>
          <w:p w14:paraId="760480B2" w14:textId="21A43F67" w:rsidR="00EF49AC" w:rsidRPr="007572B3" w:rsidRDefault="00EF49AC" w:rsidP="00EF49A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Illness Benefit</w:t>
            </w:r>
          </w:p>
        </w:tc>
        <w:tc>
          <w:tcPr>
            <w:tcW w:w="1491" w:type="dxa"/>
            <w:noWrap/>
          </w:tcPr>
          <w:p w14:paraId="25CA27D9" w14:textId="0AEE2581" w:rsidR="00EF49AC" w:rsidRPr="00CF2862" w:rsidRDefault="00EF49AC" w:rsidP="00EF49A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="00686741">
              <w:rPr>
                <w:rFonts w:ascii="Calibri" w:hAnsi="Calibri" w:cs="Calibri"/>
                <w:sz w:val="20"/>
                <w:szCs w:val="20"/>
              </w:rPr>
              <w:t>531</w:t>
            </w:r>
          </w:p>
        </w:tc>
        <w:tc>
          <w:tcPr>
            <w:tcW w:w="1258" w:type="dxa"/>
            <w:noWrap/>
          </w:tcPr>
          <w:p w14:paraId="57677AFC" w14:textId="1B67AA8C" w:rsidR="00EF49AC" w:rsidRPr="00CF2862" w:rsidRDefault="00EF49AC" w:rsidP="00EF49A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4.</w:t>
            </w:r>
            <w:r w:rsidR="00686741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EF49AC" w:rsidRPr="00CF2862" w14:paraId="5130917A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C2E8E5B" w14:textId="7140F250" w:rsidR="00EF49AC" w:rsidRPr="00CF2862" w:rsidRDefault="00EF49AC" w:rsidP="00EF49A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7117E437" w14:textId="02240102" w:rsidR="00EF49AC" w:rsidRPr="00834785" w:rsidRDefault="00EF49AC" w:rsidP="00EF49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</w:tcPr>
          <w:p w14:paraId="3C9B03CC" w14:textId="3A475077" w:rsidR="00EF49AC" w:rsidRPr="007572B3" w:rsidRDefault="00EF49AC" w:rsidP="00EF49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Invalidity Pension</w:t>
            </w:r>
          </w:p>
        </w:tc>
        <w:tc>
          <w:tcPr>
            <w:tcW w:w="1491" w:type="dxa"/>
            <w:noWrap/>
          </w:tcPr>
          <w:p w14:paraId="21ED7FA7" w14:textId="773E4E7A" w:rsidR="00EF49AC" w:rsidRPr="00CF2862" w:rsidRDefault="00686741" w:rsidP="00EF49A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2,817</w:t>
            </w:r>
          </w:p>
        </w:tc>
        <w:tc>
          <w:tcPr>
            <w:tcW w:w="1258" w:type="dxa"/>
            <w:noWrap/>
          </w:tcPr>
          <w:p w14:paraId="2F46FBA4" w14:textId="25B7DA2F" w:rsidR="00EF49AC" w:rsidRPr="00CF2862" w:rsidRDefault="00686741" w:rsidP="00EF49A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EF49AC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.7</w:t>
            </w:r>
            <w:r w:rsidR="00EF49A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EF49AC" w:rsidRPr="00CF2862" w14:paraId="6E6D881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F49D96D" w14:textId="639CCF49" w:rsidR="00EF49AC" w:rsidRPr="00CF2862" w:rsidRDefault="00EF49AC" w:rsidP="00EF49A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F26F7D9" w14:textId="4F03E371" w:rsidR="00EF49AC" w:rsidRPr="00834785" w:rsidRDefault="00EF49AC" w:rsidP="00EF49A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</w:tcPr>
          <w:p w14:paraId="74FF2415" w14:textId="633949DA" w:rsidR="00EF49AC" w:rsidRPr="007572B3" w:rsidRDefault="00EF49AC" w:rsidP="00EF49A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Partial Capacity Benefit</w:t>
            </w:r>
          </w:p>
        </w:tc>
        <w:tc>
          <w:tcPr>
            <w:tcW w:w="1491" w:type="dxa"/>
            <w:noWrap/>
          </w:tcPr>
          <w:p w14:paraId="7B183B2D" w14:textId="41A332B9" w:rsidR="00EF49AC" w:rsidRPr="00CF2862" w:rsidRDefault="00EF49AC" w:rsidP="00EF49A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="00686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51</w:t>
            </w:r>
          </w:p>
        </w:tc>
        <w:tc>
          <w:tcPr>
            <w:tcW w:w="1258" w:type="dxa"/>
            <w:noWrap/>
          </w:tcPr>
          <w:p w14:paraId="6BA32FCC" w14:textId="51DE04B4" w:rsidR="00EF49AC" w:rsidRPr="00CF2862" w:rsidRDefault="00EF49AC" w:rsidP="00EF49A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3.</w:t>
            </w:r>
            <w:r w:rsidR="00686741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EF49AC" w:rsidRPr="00CF2862" w14:paraId="2F8434C0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12B59F7" w14:textId="11C916D6" w:rsidR="00EF49AC" w:rsidRPr="00CF2862" w:rsidRDefault="00EF49AC" w:rsidP="00EF49A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727265B" w14:textId="281EBEE0" w:rsidR="00EF49AC" w:rsidRPr="00834785" w:rsidRDefault="00EF49AC" w:rsidP="00EF49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</w:tcPr>
          <w:p w14:paraId="63F751CA" w14:textId="3E8D5BA3" w:rsidR="00EF49AC" w:rsidRPr="007572B3" w:rsidRDefault="00EF49AC" w:rsidP="00EF49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Injury Benefit</w:t>
            </w:r>
          </w:p>
        </w:tc>
        <w:tc>
          <w:tcPr>
            <w:tcW w:w="1491" w:type="dxa"/>
            <w:noWrap/>
          </w:tcPr>
          <w:p w14:paraId="22099F55" w14:textId="5ED17D6E" w:rsidR="00EF49AC" w:rsidRPr="00514EDC" w:rsidRDefault="00EF49AC" w:rsidP="00EF49A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686741"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1258" w:type="dxa"/>
            <w:noWrap/>
          </w:tcPr>
          <w:p w14:paraId="66323766" w14:textId="6C54569D" w:rsidR="00EF49AC" w:rsidRPr="00B90B6E" w:rsidRDefault="00EF49AC" w:rsidP="00EF49A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4%</w:t>
            </w:r>
          </w:p>
        </w:tc>
      </w:tr>
      <w:tr w:rsidR="00686741" w:rsidRPr="00CF2862" w14:paraId="49FE441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6AA81CB" w14:textId="45BAADBF" w:rsidR="00686741" w:rsidRPr="00D91A57" w:rsidRDefault="00686741" w:rsidP="0068674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6423F35" w14:textId="25A86004" w:rsidR="00686741" w:rsidRPr="00834785" w:rsidRDefault="00686741" w:rsidP="0068674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</w:tcPr>
          <w:p w14:paraId="167FB4C4" w14:textId="477834F2" w:rsidR="00686741" w:rsidRPr="007572B3" w:rsidRDefault="00686741" w:rsidP="0068674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Other Payment (Blind Pension/Other)</w:t>
            </w:r>
          </w:p>
        </w:tc>
        <w:tc>
          <w:tcPr>
            <w:tcW w:w="1491" w:type="dxa"/>
            <w:noWrap/>
          </w:tcPr>
          <w:p w14:paraId="3C4674E2" w14:textId="44BD5FEE" w:rsidR="00686741" w:rsidRDefault="00686741" w:rsidP="0068674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258" w:type="dxa"/>
            <w:noWrap/>
          </w:tcPr>
          <w:p w14:paraId="75FEC5FC" w14:textId="592B5ABF" w:rsidR="00686741" w:rsidRPr="00B90B6E" w:rsidRDefault="00686741" w:rsidP="0068674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1%</w:t>
            </w:r>
          </w:p>
        </w:tc>
      </w:tr>
      <w:tr w:rsidR="00EF49AC" w:rsidRPr="00CF2862" w14:paraId="6F7008C5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72CD78A" w14:textId="78D908EE" w:rsidR="00EF49AC" w:rsidRPr="00CF2862" w:rsidRDefault="00EF49AC" w:rsidP="00EF49A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7E559661" w14:textId="4D1F103F" w:rsidR="00EF49AC" w:rsidRPr="00834785" w:rsidRDefault="00EF49AC" w:rsidP="00EF49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</w:tcPr>
          <w:p w14:paraId="347711DB" w14:textId="3BBF310E" w:rsidR="00EF49AC" w:rsidRPr="007572B3" w:rsidRDefault="00EF49AC" w:rsidP="00EF49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Occupational Injuries Benefit Scheme</w:t>
            </w:r>
          </w:p>
        </w:tc>
        <w:tc>
          <w:tcPr>
            <w:tcW w:w="1491" w:type="dxa"/>
            <w:noWrap/>
          </w:tcPr>
          <w:p w14:paraId="56F4D9E5" w14:textId="17334EAF" w:rsidR="00EF49AC" w:rsidRPr="00CF2862" w:rsidRDefault="00EF49AC" w:rsidP="00EF49A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 w:rsidR="00686741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258" w:type="dxa"/>
            <w:noWrap/>
          </w:tcPr>
          <w:p w14:paraId="0A581025" w14:textId="55EA01AB" w:rsidR="00EF49AC" w:rsidRPr="00CF2862" w:rsidRDefault="00686741" w:rsidP="00EF49A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</w:t>
            </w:r>
            <w:r w:rsidR="00EF49A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668A1" w:rsidRPr="00CF2862" w14:paraId="0E5E563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6D4E836" w14:textId="50A25D09" w:rsidR="00C668A1" w:rsidRPr="00CF2862" w:rsidRDefault="00C668A1" w:rsidP="00C668A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</w:tcPr>
          <w:p w14:paraId="50DD352F" w14:textId="7FD80565" w:rsidR="00C668A1" w:rsidRPr="00CF2862" w:rsidRDefault="00C668A1" w:rsidP="00C668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</w:tcPr>
          <w:p w14:paraId="514E368C" w14:textId="1D53FFCF" w:rsidR="00C668A1" w:rsidRPr="00CF2862" w:rsidRDefault="00C668A1" w:rsidP="00C668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408F76F8" w14:textId="6E38A824" w:rsidR="00C668A1" w:rsidRPr="00CF2862" w:rsidRDefault="00C668A1" w:rsidP="00C668A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AB1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4,283</w:t>
            </w:r>
          </w:p>
        </w:tc>
        <w:tc>
          <w:tcPr>
            <w:tcW w:w="1258" w:type="dxa"/>
            <w:noWrap/>
          </w:tcPr>
          <w:p w14:paraId="5AD3E754" w14:textId="466BA108" w:rsidR="00C668A1" w:rsidRPr="00CF2862" w:rsidRDefault="00C668A1" w:rsidP="00C668A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CF2862" w:rsidRPr="00CF2862" w14:paraId="7E46EBDD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41D2CA7" w14:textId="33C73F98" w:rsidR="00CF2862" w:rsidRPr="00CF2862" w:rsidRDefault="00F07155" w:rsidP="0049266B">
            <w:pPr>
              <w:tabs>
                <w:tab w:val="center" w:pos="6866"/>
                <w:tab w:val="left" w:pos="12390"/>
                <w:tab w:val="left" w:pos="12585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Older and Retired People</w:t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15.2%</w:t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086782" w:rsidRPr="00CF2862" w14:paraId="1021E47C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1D37E64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9A4749B" w14:textId="77777777" w:rsidR="00CF2862" w:rsidRPr="00834785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251A3395" w14:textId="77777777" w:rsidR="00CF2862" w:rsidRPr="007572B3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State Pension/Contributory</w:t>
            </w:r>
          </w:p>
        </w:tc>
        <w:tc>
          <w:tcPr>
            <w:tcW w:w="1491" w:type="dxa"/>
            <w:noWrap/>
            <w:hideMark/>
          </w:tcPr>
          <w:p w14:paraId="79399A5D" w14:textId="18738EC6" w:rsidR="00CF2862" w:rsidRPr="00CF2862" w:rsidRDefault="00686741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7,874</w:t>
            </w:r>
          </w:p>
        </w:tc>
        <w:tc>
          <w:tcPr>
            <w:tcW w:w="1258" w:type="dxa"/>
            <w:noWrap/>
            <w:hideMark/>
          </w:tcPr>
          <w:p w14:paraId="31E3EDAD" w14:textId="39E054CC" w:rsidR="00CF2862" w:rsidRPr="00CF2862" w:rsidRDefault="00EF49AC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57.</w:t>
            </w:r>
            <w:r w:rsidR="00686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</w:t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03CD3A86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F472C54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687C9710" w14:textId="77777777" w:rsidR="00CF2862" w:rsidRPr="00834785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0EBC2718" w14:textId="47723628" w:rsidR="00CF2862" w:rsidRPr="007572B3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State Pension/</w:t>
            </w:r>
            <w:r w:rsidR="0047215D"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Non-Contributory</w:t>
            </w: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 xml:space="preserve"> Pension</w:t>
            </w:r>
          </w:p>
        </w:tc>
        <w:tc>
          <w:tcPr>
            <w:tcW w:w="1491" w:type="dxa"/>
            <w:noWrap/>
            <w:hideMark/>
          </w:tcPr>
          <w:p w14:paraId="633474DF" w14:textId="53A61353" w:rsidR="00CF2862" w:rsidRPr="00CF2862" w:rsidRDefault="00EF49AC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</w:t>
            </w:r>
            <w:r w:rsidR="00686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261</w:t>
            </w:r>
          </w:p>
        </w:tc>
        <w:tc>
          <w:tcPr>
            <w:tcW w:w="1258" w:type="dxa"/>
            <w:noWrap/>
            <w:hideMark/>
          </w:tcPr>
          <w:p w14:paraId="6E746ED8" w14:textId="29E69A7C" w:rsidR="00CF2862" w:rsidRPr="00CF2862" w:rsidRDefault="00CF2862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23.</w:t>
            </w:r>
            <w:r w:rsidR="00686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39233D5B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34AE970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BEA67D3" w14:textId="77777777" w:rsidR="00CF2862" w:rsidRPr="00834785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0A9DC021" w14:textId="77777777" w:rsidR="00CF2862" w:rsidRPr="007572B3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Payment for people who retire at 65</w:t>
            </w:r>
          </w:p>
        </w:tc>
        <w:tc>
          <w:tcPr>
            <w:tcW w:w="1491" w:type="dxa"/>
            <w:noWrap/>
            <w:hideMark/>
          </w:tcPr>
          <w:p w14:paraId="60E0677C" w14:textId="244C5953" w:rsidR="00CF2862" w:rsidRPr="00CF2862" w:rsidRDefault="00686741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912</w:t>
            </w:r>
          </w:p>
        </w:tc>
        <w:tc>
          <w:tcPr>
            <w:tcW w:w="1258" w:type="dxa"/>
            <w:noWrap/>
            <w:hideMark/>
          </w:tcPr>
          <w:p w14:paraId="1BEEF46A" w14:textId="2126E171" w:rsidR="00CF2862" w:rsidRPr="00CF2862" w:rsidRDefault="00686741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6.6</w:t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71F238E1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7F5A467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45B0BCD0" w14:textId="77777777" w:rsidR="00CF2862" w:rsidRPr="00834785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284856A6" w14:textId="77777777" w:rsidR="00CF2862" w:rsidRPr="007572B3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Qualified Adults</w:t>
            </w:r>
          </w:p>
        </w:tc>
        <w:tc>
          <w:tcPr>
            <w:tcW w:w="1491" w:type="dxa"/>
            <w:noWrap/>
            <w:hideMark/>
          </w:tcPr>
          <w:p w14:paraId="7A30E509" w14:textId="294B6EBC" w:rsidR="00CF2862" w:rsidRPr="00CF2862" w:rsidRDefault="00686741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657</w:t>
            </w:r>
          </w:p>
        </w:tc>
        <w:tc>
          <w:tcPr>
            <w:tcW w:w="1258" w:type="dxa"/>
            <w:noWrap/>
            <w:hideMark/>
          </w:tcPr>
          <w:p w14:paraId="40CF7617" w14:textId="603DEFEA" w:rsidR="00CF2862" w:rsidRPr="00CF2862" w:rsidRDefault="00686741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4.8</w:t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0D734E3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47CF87C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955AAD9" w14:textId="77777777" w:rsidR="00CF2862" w:rsidRPr="00834785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66884622" w14:textId="77777777" w:rsidR="00CF2862" w:rsidRPr="007572B3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UK Pensions/Brexit</w:t>
            </w:r>
          </w:p>
        </w:tc>
        <w:tc>
          <w:tcPr>
            <w:tcW w:w="1491" w:type="dxa"/>
            <w:noWrap/>
            <w:hideMark/>
          </w:tcPr>
          <w:p w14:paraId="14F77792" w14:textId="1146BB42" w:rsidR="00CF2862" w:rsidRPr="00CF2862" w:rsidRDefault="00686741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539</w:t>
            </w:r>
          </w:p>
        </w:tc>
        <w:tc>
          <w:tcPr>
            <w:tcW w:w="1258" w:type="dxa"/>
            <w:noWrap/>
            <w:hideMark/>
          </w:tcPr>
          <w:p w14:paraId="74B2E11F" w14:textId="1D517F6A" w:rsidR="00CF2862" w:rsidRPr="00CF2862" w:rsidRDefault="00686741" w:rsidP="00EF49A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EF49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.9</w:t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686741" w:rsidRPr="00CF2862" w14:paraId="142C2DC7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614AE8A" w14:textId="4E7CC9D5" w:rsidR="00686741" w:rsidRPr="00CF2862" w:rsidRDefault="00686741" w:rsidP="0068674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4278D98C" w14:textId="58573F1C" w:rsidR="00686741" w:rsidRPr="00834785" w:rsidRDefault="00686741" w:rsidP="0068674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</w:tcPr>
          <w:p w14:paraId="313E9B8A" w14:textId="67668564" w:rsidR="00686741" w:rsidRPr="007572B3" w:rsidRDefault="00686741" w:rsidP="0068674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Homemakers Scheme/ HomeCaring Periods Scheme</w:t>
            </w:r>
          </w:p>
        </w:tc>
        <w:tc>
          <w:tcPr>
            <w:tcW w:w="1491" w:type="dxa"/>
            <w:noWrap/>
          </w:tcPr>
          <w:p w14:paraId="49E1C224" w14:textId="13F4BF0F" w:rsidR="00686741" w:rsidRDefault="00686741" w:rsidP="0068674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383</w:t>
            </w:r>
          </w:p>
        </w:tc>
        <w:tc>
          <w:tcPr>
            <w:tcW w:w="1258" w:type="dxa"/>
            <w:noWrap/>
          </w:tcPr>
          <w:p w14:paraId="74E1C414" w14:textId="509A64D7" w:rsidR="00686741" w:rsidRDefault="00686741" w:rsidP="0068674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3074AED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B8D23E6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0A6E8B4" w14:textId="77777777" w:rsidR="00CF2862" w:rsidRPr="00834785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6E39F311" w14:textId="77777777" w:rsidR="00CF2862" w:rsidRPr="007572B3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EU/International Pensions</w:t>
            </w:r>
          </w:p>
        </w:tc>
        <w:tc>
          <w:tcPr>
            <w:tcW w:w="1491" w:type="dxa"/>
            <w:noWrap/>
            <w:hideMark/>
          </w:tcPr>
          <w:p w14:paraId="402EBD6D" w14:textId="0E282F50" w:rsidR="00CF2862" w:rsidRPr="00CF2862" w:rsidRDefault="00EF49AC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686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258" w:type="dxa"/>
            <w:noWrap/>
            <w:hideMark/>
          </w:tcPr>
          <w:p w14:paraId="5C25C7F3" w14:textId="7479ADD2" w:rsidR="00CF2862" w:rsidRPr="00CF2862" w:rsidRDefault="00CF2862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686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40CF5BCF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7632CDF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02BD092F" w14:textId="77777777" w:rsidR="00CF2862" w:rsidRPr="00CF2862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2915FCF5" w14:textId="77777777" w:rsidR="00CF2862" w:rsidRPr="00F378A9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4B961547" w14:textId="5FFCA32B" w:rsidR="00CF2862" w:rsidRPr="00CF2862" w:rsidRDefault="00CF2862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6867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3,827</w:t>
            </w:r>
          </w:p>
        </w:tc>
        <w:tc>
          <w:tcPr>
            <w:tcW w:w="1258" w:type="dxa"/>
            <w:noWrap/>
            <w:hideMark/>
          </w:tcPr>
          <w:p w14:paraId="57BB2034" w14:textId="77777777" w:rsidR="00CF2862" w:rsidRPr="00CF2862" w:rsidRDefault="00CF2862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76273D" w:rsidRPr="00CF2862" w14:paraId="20593BEE" w14:textId="77777777" w:rsidTr="0014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</w:tcPr>
          <w:p w14:paraId="3C5EEA8F" w14:textId="784BEF6D" w:rsidR="0076273D" w:rsidRPr="00CF2862" w:rsidRDefault="0049266B" w:rsidP="0049266B">
            <w:pPr>
              <w:tabs>
                <w:tab w:val="center" w:pos="6540"/>
                <w:tab w:val="left" w:pos="7431"/>
                <w:tab w:val="right" w:pos="13081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76273D"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Extra Social Welfare Benefits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13.9%</w:t>
            </w:r>
          </w:p>
        </w:tc>
      </w:tr>
      <w:tr w:rsidR="0076273D" w:rsidRPr="00CF2862" w14:paraId="6BE79BEF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AB8EA4A" w14:textId="24885886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300EA69" w14:textId="1DB8C88D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252D6EBD" w14:textId="54F281B8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Fuel Allowance</w:t>
            </w:r>
          </w:p>
        </w:tc>
        <w:tc>
          <w:tcPr>
            <w:tcW w:w="1491" w:type="dxa"/>
            <w:noWrap/>
          </w:tcPr>
          <w:p w14:paraId="5AFE0769" w14:textId="76674808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4,526</w:t>
            </w:r>
          </w:p>
        </w:tc>
        <w:tc>
          <w:tcPr>
            <w:tcW w:w="1258" w:type="dxa"/>
            <w:noWrap/>
          </w:tcPr>
          <w:p w14:paraId="5E6F38EC" w14:textId="73435317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35.9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60706EC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F3E8E5F" w14:textId="78D780AE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DE8A802" w14:textId="7E707FA1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518211DE" w14:textId="3CDD3D66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Household Benefits Package</w:t>
            </w:r>
          </w:p>
        </w:tc>
        <w:tc>
          <w:tcPr>
            <w:tcW w:w="1491" w:type="dxa"/>
            <w:noWrap/>
          </w:tcPr>
          <w:p w14:paraId="05F453E2" w14:textId="0E8939EA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,277</w:t>
            </w:r>
          </w:p>
        </w:tc>
        <w:tc>
          <w:tcPr>
            <w:tcW w:w="1258" w:type="dxa"/>
            <w:noWrap/>
          </w:tcPr>
          <w:p w14:paraId="0942BD9A" w14:textId="417F80E7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33.9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069E1993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6794AEF" w14:textId="5380EEEA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63C8A0B" w14:textId="145A6E69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5B888BF4" w14:textId="6C4A7F18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Free Travel (Travel Card, Companion Card, etc.)</w:t>
            </w:r>
          </w:p>
        </w:tc>
        <w:tc>
          <w:tcPr>
            <w:tcW w:w="1491" w:type="dxa"/>
            <w:noWrap/>
          </w:tcPr>
          <w:p w14:paraId="206E062E" w14:textId="00FAAA78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1,704</w:t>
            </w:r>
          </w:p>
        </w:tc>
        <w:tc>
          <w:tcPr>
            <w:tcW w:w="1258" w:type="dxa"/>
            <w:noWrap/>
          </w:tcPr>
          <w:p w14:paraId="37EFD3D3" w14:textId="2B6A5CB1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72619A4E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A81CFC2" w14:textId="2A72B464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90" w:type="dxa"/>
            <w:noWrap/>
          </w:tcPr>
          <w:p w14:paraId="010BF68F" w14:textId="0D7F2740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42FE7E73" w14:textId="621185F2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Living Alone Increase</w:t>
            </w:r>
          </w:p>
        </w:tc>
        <w:tc>
          <w:tcPr>
            <w:tcW w:w="1491" w:type="dxa"/>
            <w:noWrap/>
          </w:tcPr>
          <w:p w14:paraId="3845EBF4" w14:textId="554C863E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1,625</w:t>
            </w:r>
          </w:p>
        </w:tc>
        <w:tc>
          <w:tcPr>
            <w:tcW w:w="1258" w:type="dxa"/>
            <w:noWrap/>
          </w:tcPr>
          <w:p w14:paraId="6D79BD57" w14:textId="73C6DB47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2.9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7F7745FE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1501352" w14:textId="2ED71C12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8021A70" w14:textId="0D5C99F6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63BD18DF" w14:textId="348B276B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Telephone Support Allowance</w:t>
            </w:r>
          </w:p>
        </w:tc>
        <w:tc>
          <w:tcPr>
            <w:tcW w:w="1491" w:type="dxa"/>
            <w:noWrap/>
          </w:tcPr>
          <w:p w14:paraId="68700936" w14:textId="5973FE6C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205</w:t>
            </w:r>
          </w:p>
        </w:tc>
        <w:tc>
          <w:tcPr>
            <w:tcW w:w="1258" w:type="dxa"/>
            <w:noWrap/>
          </w:tcPr>
          <w:p w14:paraId="2D1E5388" w14:textId="51F46B2C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1D418F5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21BAD8A" w14:textId="28C04D14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ADD4879" w14:textId="7459C6CA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36320C6B" w14:textId="332C1B02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Cost of Living Increases</w:t>
            </w:r>
          </w:p>
        </w:tc>
        <w:tc>
          <w:tcPr>
            <w:tcW w:w="1491" w:type="dxa"/>
            <w:noWrap/>
          </w:tcPr>
          <w:p w14:paraId="39134322" w14:textId="3E14FDA9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159</w:t>
            </w:r>
          </w:p>
        </w:tc>
        <w:tc>
          <w:tcPr>
            <w:tcW w:w="1258" w:type="dxa"/>
            <w:noWrap/>
          </w:tcPr>
          <w:p w14:paraId="33033629" w14:textId="4653FF61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1.3%</w:t>
            </w:r>
          </w:p>
        </w:tc>
      </w:tr>
      <w:tr w:rsidR="0076273D" w:rsidRPr="00CF2862" w14:paraId="2354BE46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B565B5E" w14:textId="1F7914EA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AFBD255" w14:textId="03242556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79C0CEA8" w14:textId="1CB8FCEE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Treatment Benefits</w:t>
            </w:r>
          </w:p>
        </w:tc>
        <w:tc>
          <w:tcPr>
            <w:tcW w:w="1491" w:type="dxa"/>
            <w:noWrap/>
          </w:tcPr>
          <w:p w14:paraId="74C503AE" w14:textId="7FCC0223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</w:t>
            </w:r>
          </w:p>
        </w:tc>
        <w:tc>
          <w:tcPr>
            <w:tcW w:w="1258" w:type="dxa"/>
            <w:noWrap/>
          </w:tcPr>
          <w:p w14:paraId="452B25C5" w14:textId="507AFB17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44CAFCD1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16710CE" w14:textId="18FF7D4C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9FC8706" w14:textId="1C767B38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47D4E95D" w14:textId="0861C613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Christmas Bonus</w:t>
            </w:r>
          </w:p>
        </w:tc>
        <w:tc>
          <w:tcPr>
            <w:tcW w:w="1491" w:type="dxa"/>
            <w:noWrap/>
          </w:tcPr>
          <w:p w14:paraId="4E097C1C" w14:textId="29F87941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1258" w:type="dxa"/>
            <w:noWrap/>
          </w:tcPr>
          <w:p w14:paraId="5CEB2A84" w14:textId="3C508EDA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54E50235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ACEBE97" w14:textId="79850BAC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</w:tcPr>
          <w:p w14:paraId="78727E85" w14:textId="001DB475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</w:tcPr>
          <w:p w14:paraId="5B6CA216" w14:textId="0EA0A06F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719303E0" w14:textId="43377115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2,625</w:t>
            </w:r>
          </w:p>
        </w:tc>
        <w:tc>
          <w:tcPr>
            <w:tcW w:w="1258" w:type="dxa"/>
            <w:noWrap/>
          </w:tcPr>
          <w:p w14:paraId="30089912" w14:textId="40FA01A9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76273D" w:rsidRPr="00CF2862" w14:paraId="598BF90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6E01E3C5" w14:textId="6B1223D6" w:rsidR="0076273D" w:rsidRPr="00CF2862" w:rsidRDefault="0076273D" w:rsidP="0049266B">
            <w:pPr>
              <w:tabs>
                <w:tab w:val="center" w:pos="6866"/>
                <w:tab w:val="left" w:pos="12360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Carers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10.9%</w:t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76273D" w:rsidRPr="00CF2862" w14:paraId="349082AB" w14:textId="77777777" w:rsidTr="002E38D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9DD29C7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6498A5E3" w14:textId="77777777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888" w:type="dxa"/>
            <w:noWrap/>
            <w:hideMark/>
          </w:tcPr>
          <w:p w14:paraId="4F20D333" w14:textId="77777777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Allowance</w:t>
            </w:r>
          </w:p>
        </w:tc>
        <w:tc>
          <w:tcPr>
            <w:tcW w:w="1491" w:type="dxa"/>
            <w:noWrap/>
            <w:hideMark/>
          </w:tcPr>
          <w:p w14:paraId="39532E49" w14:textId="7ED7F683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,066</w:t>
            </w:r>
          </w:p>
        </w:tc>
        <w:tc>
          <w:tcPr>
            <w:tcW w:w="1258" w:type="dxa"/>
            <w:noWrap/>
            <w:hideMark/>
          </w:tcPr>
          <w:p w14:paraId="4723696E" w14:textId="097BB4C6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55B9667B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6F1AE91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0C2BF5A" w14:textId="77777777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888" w:type="dxa"/>
            <w:noWrap/>
            <w:hideMark/>
          </w:tcPr>
          <w:p w14:paraId="6A33AEE4" w14:textId="77777777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Benefit</w:t>
            </w:r>
          </w:p>
        </w:tc>
        <w:tc>
          <w:tcPr>
            <w:tcW w:w="1491" w:type="dxa"/>
            <w:noWrap/>
            <w:hideMark/>
          </w:tcPr>
          <w:p w14:paraId="5BC960CE" w14:textId="446A9636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,245</w:t>
            </w:r>
          </w:p>
        </w:tc>
        <w:tc>
          <w:tcPr>
            <w:tcW w:w="1258" w:type="dxa"/>
            <w:noWrap/>
            <w:hideMark/>
          </w:tcPr>
          <w:p w14:paraId="5793A1F7" w14:textId="417F5928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7C40D90F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49D7026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66E4381F" w14:textId="77777777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888" w:type="dxa"/>
            <w:noWrap/>
            <w:hideMark/>
          </w:tcPr>
          <w:p w14:paraId="5C49E0B1" w14:textId="77777777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Domiciliary Care Allowance (DCA)</w:t>
            </w:r>
          </w:p>
        </w:tc>
        <w:tc>
          <w:tcPr>
            <w:tcW w:w="1491" w:type="dxa"/>
            <w:noWrap/>
            <w:hideMark/>
          </w:tcPr>
          <w:p w14:paraId="193DC191" w14:textId="5C2EE81F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,072</w:t>
            </w:r>
          </w:p>
        </w:tc>
        <w:tc>
          <w:tcPr>
            <w:tcW w:w="1258" w:type="dxa"/>
            <w:noWrap/>
            <w:hideMark/>
          </w:tcPr>
          <w:p w14:paraId="7137944A" w14:textId="39C33CF1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0.9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6608E09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ED41027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087CA42E" w14:textId="77777777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888" w:type="dxa"/>
            <w:noWrap/>
            <w:hideMark/>
          </w:tcPr>
          <w:p w14:paraId="30B31D6D" w14:textId="77777777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Support Grant (Respite Care Grant)</w:t>
            </w:r>
          </w:p>
        </w:tc>
        <w:tc>
          <w:tcPr>
            <w:tcW w:w="1491" w:type="dxa"/>
            <w:noWrap/>
            <w:hideMark/>
          </w:tcPr>
          <w:p w14:paraId="627CB896" w14:textId="26C6FDEF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826</w:t>
            </w:r>
          </w:p>
        </w:tc>
        <w:tc>
          <w:tcPr>
            <w:tcW w:w="1258" w:type="dxa"/>
            <w:noWrap/>
            <w:hideMark/>
          </w:tcPr>
          <w:p w14:paraId="65C23219" w14:textId="5021B471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8.4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7D0F5EA8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D9CF631" w14:textId="4B929BEE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099DA0E1" w14:textId="66DDE283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888" w:type="dxa"/>
            <w:noWrap/>
            <w:hideMark/>
          </w:tcPr>
          <w:p w14:paraId="7F317A94" w14:textId="77777777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Half-rate Carer's Allowance</w:t>
            </w:r>
          </w:p>
        </w:tc>
        <w:tc>
          <w:tcPr>
            <w:tcW w:w="1491" w:type="dxa"/>
            <w:noWrap/>
            <w:hideMark/>
          </w:tcPr>
          <w:p w14:paraId="28386B5D" w14:textId="773AC4FE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646</w:t>
            </w:r>
          </w:p>
        </w:tc>
        <w:tc>
          <w:tcPr>
            <w:tcW w:w="1258" w:type="dxa"/>
            <w:noWrap/>
            <w:hideMark/>
          </w:tcPr>
          <w:p w14:paraId="177BA255" w14:textId="491B19B9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459A7C5C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1AF53AF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4E2A35C4" w14:textId="77777777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445D8E33" w14:textId="77777777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542506E1" w14:textId="2FFCA3DA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9,855</w:t>
            </w:r>
          </w:p>
        </w:tc>
        <w:tc>
          <w:tcPr>
            <w:tcW w:w="1258" w:type="dxa"/>
            <w:noWrap/>
            <w:hideMark/>
          </w:tcPr>
          <w:p w14:paraId="2B85C31A" w14:textId="77777777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76273D" w:rsidRPr="00CF2862" w14:paraId="1F745306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2A1ACF0" w14:textId="641D12DD" w:rsidR="0076273D" w:rsidRPr="00CF2862" w:rsidRDefault="0076273D" w:rsidP="0049266B">
            <w:pPr>
              <w:tabs>
                <w:tab w:val="center" w:pos="6866"/>
                <w:tab w:val="right" w:pos="13081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Families and Childre</w:t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n</w:t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9.5%</w:t>
            </w:r>
          </w:p>
        </w:tc>
      </w:tr>
      <w:tr w:rsidR="0076273D" w:rsidRPr="00CF2862" w14:paraId="4BE34A6F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CA1CCDE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63D499F" w14:textId="77777777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283E44F6" w14:textId="36C14433" w:rsidR="0076273D" w:rsidRPr="007572B3" w:rsidRDefault="0076273D" w:rsidP="00A1049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 xml:space="preserve">Working Family Payment (WFP) </w:t>
            </w:r>
          </w:p>
        </w:tc>
        <w:tc>
          <w:tcPr>
            <w:tcW w:w="1491" w:type="dxa"/>
            <w:noWrap/>
            <w:hideMark/>
          </w:tcPr>
          <w:p w14:paraId="77E84FEE" w14:textId="6EB7C436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,066</w:t>
            </w:r>
          </w:p>
        </w:tc>
        <w:tc>
          <w:tcPr>
            <w:tcW w:w="1258" w:type="dxa"/>
            <w:noWrap/>
            <w:hideMark/>
          </w:tcPr>
          <w:p w14:paraId="264F5101" w14:textId="1A3AD7B9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35.6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742D8A86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9AB7191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130C16E" w14:textId="77777777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76799F87" w14:textId="77777777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1491" w:type="dxa"/>
            <w:noWrap/>
            <w:hideMark/>
          </w:tcPr>
          <w:p w14:paraId="32EA06F0" w14:textId="122A1904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1,720</w:t>
            </w:r>
          </w:p>
        </w:tc>
        <w:tc>
          <w:tcPr>
            <w:tcW w:w="1258" w:type="dxa"/>
            <w:noWrap/>
            <w:hideMark/>
          </w:tcPr>
          <w:p w14:paraId="5718F9A1" w14:textId="6AA9ACC6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19.9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426B56C2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2282C3F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A362037" w14:textId="77777777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797EA1B6" w14:textId="77777777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1491" w:type="dxa"/>
            <w:noWrap/>
            <w:hideMark/>
          </w:tcPr>
          <w:p w14:paraId="0A0ECB1E" w14:textId="3EC35B34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1,515</w:t>
            </w:r>
          </w:p>
        </w:tc>
        <w:tc>
          <w:tcPr>
            <w:tcW w:w="1258" w:type="dxa"/>
            <w:noWrap/>
            <w:hideMark/>
          </w:tcPr>
          <w:p w14:paraId="7492E515" w14:textId="2713BF39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2E0AB467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71944A2" w14:textId="6D161B2E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F6AFE47" w14:textId="041DADB3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</w:tcPr>
          <w:p w14:paraId="66A9B458" w14:textId="019D546B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Maternity/ Adoptive Benefit</w:t>
            </w:r>
          </w:p>
        </w:tc>
        <w:tc>
          <w:tcPr>
            <w:tcW w:w="1491" w:type="dxa"/>
            <w:noWrap/>
          </w:tcPr>
          <w:p w14:paraId="177889E9" w14:textId="5DBD8501" w:rsidR="0076273D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665</w:t>
            </w:r>
          </w:p>
        </w:tc>
        <w:tc>
          <w:tcPr>
            <w:tcW w:w="1258" w:type="dxa"/>
            <w:noWrap/>
          </w:tcPr>
          <w:p w14:paraId="064F5F61" w14:textId="11ADA69C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0EE497B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D9C862A" w14:textId="02BFB47A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8D3C0BE" w14:textId="0F7B6917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</w:tcPr>
          <w:p w14:paraId="0E95F771" w14:textId="0C7B56C0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Increase for a Qualified Adult (IQA)</w:t>
            </w:r>
          </w:p>
        </w:tc>
        <w:tc>
          <w:tcPr>
            <w:tcW w:w="1491" w:type="dxa"/>
            <w:noWrap/>
          </w:tcPr>
          <w:p w14:paraId="2A42694B" w14:textId="78502B20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607</w:t>
            </w:r>
          </w:p>
        </w:tc>
        <w:tc>
          <w:tcPr>
            <w:tcW w:w="1258" w:type="dxa"/>
            <w:noWrap/>
          </w:tcPr>
          <w:p w14:paraId="50CE2169" w14:textId="4B58B1D0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1D545CAE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F23DB44" w14:textId="129FBC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D9F8C6E" w14:textId="4D4FE4D1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2CDB31CD" w14:textId="52558301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Increase for a Qualified Child (IQC)</w:t>
            </w:r>
          </w:p>
        </w:tc>
        <w:tc>
          <w:tcPr>
            <w:tcW w:w="1491" w:type="dxa"/>
            <w:noWrap/>
            <w:hideMark/>
          </w:tcPr>
          <w:p w14:paraId="70125724" w14:textId="09479C25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319</w:t>
            </w:r>
          </w:p>
        </w:tc>
        <w:tc>
          <w:tcPr>
            <w:tcW w:w="1258" w:type="dxa"/>
            <w:noWrap/>
            <w:hideMark/>
          </w:tcPr>
          <w:p w14:paraId="0AA5FFD6" w14:textId="443C3976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585B1DE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87451EE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17805AF" w14:textId="77777777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647EC577" w14:textId="77777777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Parent's Benefit</w:t>
            </w:r>
          </w:p>
        </w:tc>
        <w:tc>
          <w:tcPr>
            <w:tcW w:w="1491" w:type="dxa"/>
            <w:noWrap/>
            <w:hideMark/>
          </w:tcPr>
          <w:p w14:paraId="6E6A5D97" w14:textId="5BBFDE3A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298</w:t>
            </w:r>
          </w:p>
        </w:tc>
        <w:tc>
          <w:tcPr>
            <w:tcW w:w="1258" w:type="dxa"/>
            <w:noWrap/>
            <w:hideMark/>
          </w:tcPr>
          <w:p w14:paraId="01955143" w14:textId="22154111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30D6CB7F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7034DA9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54C753A4" w14:textId="77777777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7DE08F2B" w14:textId="77777777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Paternity Benefit</w:t>
            </w:r>
          </w:p>
        </w:tc>
        <w:tc>
          <w:tcPr>
            <w:tcW w:w="1491" w:type="dxa"/>
            <w:noWrap/>
            <w:hideMark/>
          </w:tcPr>
          <w:p w14:paraId="2AE16799" w14:textId="2B375F6F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166</w:t>
            </w:r>
          </w:p>
        </w:tc>
        <w:tc>
          <w:tcPr>
            <w:tcW w:w="1258" w:type="dxa"/>
            <w:noWrap/>
            <w:hideMark/>
          </w:tcPr>
          <w:p w14:paraId="24501F8B" w14:textId="219626EC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1.9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2B0F81A9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F1D5013" w14:textId="4113311B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295E668" w14:textId="184FAC5B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</w:tcPr>
          <w:p w14:paraId="5BB50736" w14:textId="4393E6D7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Back to School Clothing &amp; Footwear Allowance (BTSCFA)</w:t>
            </w:r>
          </w:p>
        </w:tc>
        <w:tc>
          <w:tcPr>
            <w:tcW w:w="1491" w:type="dxa"/>
            <w:noWrap/>
          </w:tcPr>
          <w:p w14:paraId="4AE27DE1" w14:textId="7BC561DF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112</w:t>
            </w:r>
          </w:p>
        </w:tc>
        <w:tc>
          <w:tcPr>
            <w:tcW w:w="1258" w:type="dxa"/>
            <w:noWrap/>
          </w:tcPr>
          <w:p w14:paraId="6E0403B7" w14:textId="59EAF6AF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32A56BA5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B49A339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307A49E" w14:textId="77777777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2742EBE2" w14:textId="77777777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Back to Work Family Dividend</w:t>
            </w:r>
          </w:p>
        </w:tc>
        <w:tc>
          <w:tcPr>
            <w:tcW w:w="1491" w:type="dxa"/>
            <w:noWrap/>
            <w:hideMark/>
          </w:tcPr>
          <w:p w14:paraId="4D601691" w14:textId="6105D7FF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109</w:t>
            </w:r>
          </w:p>
        </w:tc>
        <w:tc>
          <w:tcPr>
            <w:tcW w:w="1258" w:type="dxa"/>
            <w:noWrap/>
            <w:hideMark/>
          </w:tcPr>
          <w:p w14:paraId="7A4E8DDE" w14:textId="79708110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3FB784D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A78A220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0F07964" w14:textId="77777777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546DF460" w14:textId="77777777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Health and Safety Benefit</w:t>
            </w:r>
          </w:p>
        </w:tc>
        <w:tc>
          <w:tcPr>
            <w:tcW w:w="1491" w:type="dxa"/>
            <w:noWrap/>
            <w:hideMark/>
          </w:tcPr>
          <w:p w14:paraId="1944FB3E" w14:textId="525FDA4B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1258" w:type="dxa"/>
            <w:noWrap/>
            <w:hideMark/>
          </w:tcPr>
          <w:p w14:paraId="06673060" w14:textId="2974866A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6C579425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E707EF3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CC335BA" w14:textId="77777777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27F0E761" w14:textId="77777777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Deserted Wife's Benefit</w:t>
            </w:r>
          </w:p>
        </w:tc>
        <w:tc>
          <w:tcPr>
            <w:tcW w:w="1491" w:type="dxa"/>
            <w:noWrap/>
            <w:hideMark/>
          </w:tcPr>
          <w:p w14:paraId="5FE940AA" w14:textId="1E2C5A22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1258" w:type="dxa"/>
            <w:noWrap/>
            <w:hideMark/>
          </w:tcPr>
          <w:p w14:paraId="12629E17" w14:textId="0BA9D832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0.2%</w:t>
            </w:r>
          </w:p>
        </w:tc>
      </w:tr>
      <w:tr w:rsidR="0076273D" w:rsidRPr="00CF2862" w14:paraId="2B9238D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6DB4DB1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5640820D" w14:textId="77777777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03CA0538" w14:textId="77777777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Deserted Wife's Allowance</w:t>
            </w:r>
          </w:p>
        </w:tc>
        <w:tc>
          <w:tcPr>
            <w:tcW w:w="1491" w:type="dxa"/>
            <w:noWrap/>
            <w:hideMark/>
          </w:tcPr>
          <w:p w14:paraId="7836D64F" w14:textId="436B0632" w:rsidR="0076273D" w:rsidRPr="00B561A4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258" w:type="dxa"/>
            <w:noWrap/>
            <w:hideMark/>
          </w:tcPr>
          <w:p w14:paraId="6AC891E7" w14:textId="0A3A52B3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0.1%</w:t>
            </w:r>
          </w:p>
        </w:tc>
      </w:tr>
      <w:tr w:rsidR="0076273D" w:rsidRPr="00CF2862" w14:paraId="7DDFAB7D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39B5591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192E5DC4" w14:textId="77777777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22CFE3A0" w14:textId="77777777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1C5C262D" w14:textId="55DE6668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8,622</w:t>
            </w:r>
          </w:p>
        </w:tc>
        <w:tc>
          <w:tcPr>
            <w:tcW w:w="1258" w:type="dxa"/>
            <w:noWrap/>
            <w:hideMark/>
          </w:tcPr>
          <w:p w14:paraId="163156E7" w14:textId="77777777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76273D" w:rsidRPr="00CF2862" w14:paraId="31B26CFD" w14:textId="77777777" w:rsidTr="0014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</w:tcPr>
          <w:p w14:paraId="68AC3677" w14:textId="297F3C28" w:rsidR="0076273D" w:rsidRPr="00CF2862" w:rsidRDefault="0049266B" w:rsidP="0049266B">
            <w:pPr>
              <w:tabs>
                <w:tab w:val="center" w:pos="6540"/>
                <w:tab w:val="right" w:pos="13081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lastRenderedPageBreak/>
              <w:tab/>
            </w:r>
            <w:r w:rsidR="0076273D" w:rsidRPr="00076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Unemployed People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8.8%</w:t>
            </w:r>
          </w:p>
        </w:tc>
      </w:tr>
      <w:tr w:rsidR="0076273D" w:rsidRPr="00CF2862" w14:paraId="0B73BE44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7BFD0AD" w14:textId="0C7C47CB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4B53904" w14:textId="16DAFCCF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888" w:type="dxa"/>
            <w:noWrap/>
          </w:tcPr>
          <w:p w14:paraId="275922D3" w14:textId="6A213E4E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Jobseeker's Allowance</w:t>
            </w:r>
          </w:p>
        </w:tc>
        <w:tc>
          <w:tcPr>
            <w:tcW w:w="1491" w:type="dxa"/>
            <w:noWrap/>
          </w:tcPr>
          <w:p w14:paraId="2199C05C" w14:textId="18601D84" w:rsidR="0076273D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4,279</w:t>
            </w:r>
          </w:p>
        </w:tc>
        <w:tc>
          <w:tcPr>
            <w:tcW w:w="1258" w:type="dxa"/>
            <w:noWrap/>
          </w:tcPr>
          <w:p w14:paraId="22755CBF" w14:textId="3A590900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3.6%</w:t>
            </w:r>
          </w:p>
        </w:tc>
      </w:tr>
      <w:tr w:rsidR="0076273D" w:rsidRPr="00CF2862" w14:paraId="04D0EA2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4AB8ACB" w14:textId="04BB19BF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B64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3F878AC" w14:textId="18D77893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888" w:type="dxa"/>
            <w:noWrap/>
          </w:tcPr>
          <w:p w14:paraId="6E3A19AD" w14:textId="1D395E1F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Jobseeker's Benefit</w:t>
            </w:r>
          </w:p>
        </w:tc>
        <w:tc>
          <w:tcPr>
            <w:tcW w:w="1491" w:type="dxa"/>
            <w:noWrap/>
          </w:tcPr>
          <w:p w14:paraId="45F7EEB8" w14:textId="3CDC8003" w:rsidR="0076273D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2,502</w:t>
            </w:r>
          </w:p>
        </w:tc>
        <w:tc>
          <w:tcPr>
            <w:tcW w:w="1258" w:type="dxa"/>
            <w:noWrap/>
          </w:tcPr>
          <w:p w14:paraId="538DDFD6" w14:textId="7227C821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31.3%</w:t>
            </w:r>
          </w:p>
        </w:tc>
      </w:tr>
      <w:tr w:rsidR="0076273D" w:rsidRPr="00CF2862" w14:paraId="7F02902A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7B41BAF" w14:textId="7B35A068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B64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396E02B" w14:textId="5357B0E3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888" w:type="dxa"/>
            <w:noWrap/>
          </w:tcPr>
          <w:p w14:paraId="1E229210" w14:textId="6629DF16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Social Welfare Payments and Work</w:t>
            </w:r>
          </w:p>
        </w:tc>
        <w:tc>
          <w:tcPr>
            <w:tcW w:w="1491" w:type="dxa"/>
            <w:noWrap/>
          </w:tcPr>
          <w:p w14:paraId="2F4A2B62" w14:textId="6F603B09" w:rsidR="0076273D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560</w:t>
            </w:r>
          </w:p>
        </w:tc>
        <w:tc>
          <w:tcPr>
            <w:tcW w:w="1258" w:type="dxa"/>
            <w:noWrap/>
          </w:tcPr>
          <w:p w14:paraId="4B6F1196" w14:textId="59C5C5A0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7.</w:t>
            </w:r>
            <w:r>
              <w:rPr>
                <w:rFonts w:ascii="Calibri" w:hAnsi="Calibri" w:cs="Calibri"/>
                <w:sz w:val="20"/>
                <w:szCs w:val="20"/>
              </w:rPr>
              <w:t>0%</w:t>
            </w:r>
          </w:p>
        </w:tc>
      </w:tr>
      <w:tr w:rsidR="0076273D" w:rsidRPr="00CF2862" w14:paraId="00D3E87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B5C5821" w14:textId="133B609F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B64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0ADC327" w14:textId="67F670E7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888" w:type="dxa"/>
            <w:noWrap/>
          </w:tcPr>
          <w:p w14:paraId="05248EDB" w14:textId="74563025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Jobseeker's Transitional Payment</w:t>
            </w:r>
          </w:p>
        </w:tc>
        <w:tc>
          <w:tcPr>
            <w:tcW w:w="1491" w:type="dxa"/>
            <w:noWrap/>
          </w:tcPr>
          <w:p w14:paraId="6689194F" w14:textId="298200AA" w:rsidR="0076273D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501</w:t>
            </w:r>
          </w:p>
        </w:tc>
        <w:tc>
          <w:tcPr>
            <w:tcW w:w="1258" w:type="dxa"/>
            <w:noWrap/>
          </w:tcPr>
          <w:p w14:paraId="349CDCEB" w14:textId="7B605218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6.2%</w:t>
            </w:r>
          </w:p>
        </w:tc>
      </w:tr>
      <w:tr w:rsidR="0076273D" w:rsidRPr="00CF2862" w14:paraId="41692857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E78A6C2" w14:textId="393A68D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B64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5A23897" w14:textId="10D4DF58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888" w:type="dxa"/>
            <w:noWrap/>
          </w:tcPr>
          <w:p w14:paraId="4B61EA12" w14:textId="5188E146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Unemployed following self-employment</w:t>
            </w:r>
          </w:p>
        </w:tc>
        <w:tc>
          <w:tcPr>
            <w:tcW w:w="1491" w:type="dxa"/>
            <w:noWrap/>
          </w:tcPr>
          <w:p w14:paraId="065D9FFD" w14:textId="0B371E03" w:rsidR="0076273D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141</w:t>
            </w:r>
          </w:p>
        </w:tc>
        <w:tc>
          <w:tcPr>
            <w:tcW w:w="1258" w:type="dxa"/>
            <w:noWrap/>
          </w:tcPr>
          <w:p w14:paraId="50CF7285" w14:textId="3A565E40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1.</w:t>
            </w:r>
            <w:r w:rsidR="00FE5664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6273D" w:rsidRPr="00CF2862" w14:paraId="12834371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19BBA54" w14:textId="46472DD6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</w:tcPr>
          <w:p w14:paraId="4E47D47F" w14:textId="33B6434F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</w:tcPr>
          <w:p w14:paraId="34AFFDE1" w14:textId="7240FBFF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5EAB7BB3" w14:textId="42105EB9" w:rsidR="0076273D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7,983</w:t>
            </w:r>
          </w:p>
        </w:tc>
        <w:tc>
          <w:tcPr>
            <w:tcW w:w="1258" w:type="dxa"/>
            <w:noWrap/>
          </w:tcPr>
          <w:p w14:paraId="73B56F7F" w14:textId="090EA711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76273D" w:rsidRPr="00CF2862" w14:paraId="35B9D140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08C2D6DF" w14:textId="314C96FE" w:rsidR="0076273D" w:rsidRPr="00CF2862" w:rsidRDefault="0076273D" w:rsidP="0049266B">
            <w:pPr>
              <w:tabs>
                <w:tab w:val="center" w:pos="6866"/>
                <w:tab w:val="right" w:pos="13081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Supplementary Welfare Schemes</w:t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8.3%</w:t>
            </w:r>
          </w:p>
        </w:tc>
      </w:tr>
      <w:tr w:rsidR="0076273D" w:rsidRPr="00CF2862" w14:paraId="78E7894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49D4C7B" w14:textId="7F99E889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18BE86C" w14:textId="5586F7DD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888" w:type="dxa"/>
            <w:noWrap/>
            <w:hideMark/>
          </w:tcPr>
          <w:p w14:paraId="3F6033A0" w14:textId="61AB4703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Basic Supplementary Welfare Allowance</w:t>
            </w:r>
          </w:p>
        </w:tc>
        <w:tc>
          <w:tcPr>
            <w:tcW w:w="1491" w:type="dxa"/>
            <w:noWrap/>
            <w:hideMark/>
          </w:tcPr>
          <w:p w14:paraId="68A96A66" w14:textId="7F557E2E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3,686</w:t>
            </w:r>
          </w:p>
        </w:tc>
        <w:tc>
          <w:tcPr>
            <w:tcW w:w="1258" w:type="dxa"/>
            <w:noWrap/>
            <w:hideMark/>
          </w:tcPr>
          <w:p w14:paraId="4663ACC3" w14:textId="258224F1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48.7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5631DACD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58A8431" w14:textId="05EFBEDB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0DFE4184" w14:textId="27E2FDEA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888" w:type="dxa"/>
            <w:noWrap/>
            <w:hideMark/>
          </w:tcPr>
          <w:p w14:paraId="6E242623" w14:textId="37B1ACB2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Additional Needs Payment</w:t>
            </w:r>
          </w:p>
        </w:tc>
        <w:tc>
          <w:tcPr>
            <w:tcW w:w="1491" w:type="dxa"/>
            <w:noWrap/>
            <w:hideMark/>
          </w:tcPr>
          <w:p w14:paraId="7BD80DF6" w14:textId="3860BC9E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3,025</w:t>
            </w:r>
          </w:p>
        </w:tc>
        <w:tc>
          <w:tcPr>
            <w:tcW w:w="1258" w:type="dxa"/>
            <w:noWrap/>
            <w:hideMark/>
          </w:tcPr>
          <w:p w14:paraId="2A9CA34F" w14:textId="29FC1F9F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40.0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29BD2A7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1A3C0CA" w14:textId="5100D848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227E8D1" w14:textId="596CD128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888" w:type="dxa"/>
            <w:noWrap/>
            <w:hideMark/>
          </w:tcPr>
          <w:p w14:paraId="201B4ED4" w14:textId="3A786B66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 Supplement (RS)</w:t>
            </w:r>
          </w:p>
        </w:tc>
        <w:tc>
          <w:tcPr>
            <w:tcW w:w="1491" w:type="dxa"/>
            <w:noWrap/>
            <w:hideMark/>
          </w:tcPr>
          <w:p w14:paraId="52ABD7A2" w14:textId="5D121C6A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801</w:t>
            </w:r>
          </w:p>
        </w:tc>
        <w:tc>
          <w:tcPr>
            <w:tcW w:w="1258" w:type="dxa"/>
            <w:noWrap/>
            <w:hideMark/>
          </w:tcPr>
          <w:p w14:paraId="257C39AB" w14:textId="3BDFFFB0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0A657501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912ECCC" w14:textId="5CE70895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46133895" w14:textId="2C0E2495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888" w:type="dxa"/>
            <w:noWrap/>
            <w:hideMark/>
          </w:tcPr>
          <w:p w14:paraId="6A6E8A3D" w14:textId="12C2FF5D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Diet/Heating Supplement</w:t>
            </w:r>
          </w:p>
        </w:tc>
        <w:tc>
          <w:tcPr>
            <w:tcW w:w="1491" w:type="dxa"/>
            <w:noWrap/>
            <w:hideMark/>
          </w:tcPr>
          <w:p w14:paraId="2DBA2565" w14:textId="55213BA9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258" w:type="dxa"/>
            <w:noWrap/>
            <w:hideMark/>
          </w:tcPr>
          <w:p w14:paraId="5939685C" w14:textId="6BB54A79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388B95D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1466A32" w14:textId="5627ABAC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5650144" w14:textId="366E0E86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888" w:type="dxa"/>
            <w:noWrap/>
            <w:hideMark/>
          </w:tcPr>
          <w:p w14:paraId="7EEE6657" w14:textId="486C5103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Mortgage Interest Supplement (MIS)</w:t>
            </w:r>
          </w:p>
        </w:tc>
        <w:tc>
          <w:tcPr>
            <w:tcW w:w="1491" w:type="dxa"/>
            <w:noWrap/>
            <w:hideMark/>
          </w:tcPr>
          <w:p w14:paraId="1AD9133D" w14:textId="3375C9EC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258" w:type="dxa"/>
            <w:noWrap/>
            <w:hideMark/>
          </w:tcPr>
          <w:p w14:paraId="14C3D9EA" w14:textId="7488E969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1C9CFDCA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DFF220E" w14:textId="037A70C1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1FCA5698" w14:textId="56DC2375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3068C116" w14:textId="4EEAC4CB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3DC447DA" w14:textId="666E4352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7,565</w:t>
            </w:r>
          </w:p>
        </w:tc>
        <w:tc>
          <w:tcPr>
            <w:tcW w:w="1258" w:type="dxa"/>
            <w:noWrap/>
            <w:hideMark/>
          </w:tcPr>
          <w:p w14:paraId="2E054E63" w14:textId="06951CA4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76273D" w:rsidRPr="00CF2862" w14:paraId="7DAAEF5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4DC0EF58" w14:textId="55C28194" w:rsidR="0076273D" w:rsidRPr="00076968" w:rsidRDefault="0076273D" w:rsidP="0049266B">
            <w:pPr>
              <w:tabs>
                <w:tab w:val="center" w:pos="6866"/>
                <w:tab w:val="right" w:pos="13081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757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Insurance (PRSI)</w:t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5.6%</w:t>
            </w:r>
          </w:p>
        </w:tc>
      </w:tr>
      <w:tr w:rsidR="0076273D" w:rsidRPr="00CF2862" w14:paraId="381C05FB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1ABC2EE" w14:textId="225A813E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Social Welfare</w:t>
            </w:r>
          </w:p>
        </w:tc>
        <w:tc>
          <w:tcPr>
            <w:tcW w:w="3790" w:type="dxa"/>
            <w:noWrap/>
          </w:tcPr>
          <w:p w14:paraId="5561E978" w14:textId="051CE02C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</w:tcPr>
          <w:p w14:paraId="28468599" w14:textId="3FD0B7C0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PRSI Records/Paid Contributions</w:t>
            </w:r>
          </w:p>
        </w:tc>
        <w:tc>
          <w:tcPr>
            <w:tcW w:w="1491" w:type="dxa"/>
            <w:noWrap/>
          </w:tcPr>
          <w:p w14:paraId="348012BA" w14:textId="45260A54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2,309</w:t>
            </w:r>
          </w:p>
        </w:tc>
        <w:tc>
          <w:tcPr>
            <w:tcW w:w="1258" w:type="dxa"/>
            <w:noWrap/>
          </w:tcPr>
          <w:p w14:paraId="305B42BC" w14:textId="5F672097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45.2%</w:t>
            </w:r>
          </w:p>
        </w:tc>
      </w:tr>
      <w:tr w:rsidR="0076273D" w:rsidRPr="00CF2862" w14:paraId="39B9DB7E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61E464D" w14:textId="125A2629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727BC2D3" w14:textId="2776BC8D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</w:tcPr>
          <w:p w14:paraId="10EE041A" w14:textId="112C35E8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PPS Number</w:t>
            </w:r>
          </w:p>
        </w:tc>
        <w:tc>
          <w:tcPr>
            <w:tcW w:w="1491" w:type="dxa"/>
            <w:noWrap/>
          </w:tcPr>
          <w:p w14:paraId="16201F35" w14:textId="681CC019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890</w:t>
            </w:r>
          </w:p>
        </w:tc>
        <w:tc>
          <w:tcPr>
            <w:tcW w:w="1258" w:type="dxa"/>
            <w:noWrap/>
          </w:tcPr>
          <w:p w14:paraId="6959EBD9" w14:textId="32026F7A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17.4%</w:t>
            </w:r>
          </w:p>
        </w:tc>
      </w:tr>
      <w:tr w:rsidR="0076273D" w:rsidRPr="00CF2862" w14:paraId="2DB10B85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A264DB0" w14:textId="227B607B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A7F1568" w14:textId="72311B42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</w:tcPr>
          <w:p w14:paraId="186500AA" w14:textId="60EFA53E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Credited Contributions</w:t>
            </w:r>
          </w:p>
        </w:tc>
        <w:tc>
          <w:tcPr>
            <w:tcW w:w="1491" w:type="dxa"/>
            <w:noWrap/>
          </w:tcPr>
          <w:p w14:paraId="75D730FA" w14:textId="64A31583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535</w:t>
            </w:r>
          </w:p>
        </w:tc>
        <w:tc>
          <w:tcPr>
            <w:tcW w:w="1258" w:type="dxa"/>
            <w:noWrap/>
          </w:tcPr>
          <w:p w14:paraId="5B7EE200" w14:textId="5F7D2232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10.5%</w:t>
            </w:r>
          </w:p>
        </w:tc>
      </w:tr>
      <w:tr w:rsidR="0076273D" w:rsidRPr="00CF2862" w14:paraId="5BD6094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C13A7E8" w14:textId="5E95CFAC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91D7122" w14:textId="344CEED3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</w:tcPr>
          <w:p w14:paraId="1989F6F3" w14:textId="0672D95E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Voluntary Contributions</w:t>
            </w:r>
          </w:p>
        </w:tc>
        <w:tc>
          <w:tcPr>
            <w:tcW w:w="1491" w:type="dxa"/>
            <w:noWrap/>
          </w:tcPr>
          <w:p w14:paraId="5CD39AB2" w14:textId="7F098DE9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380</w:t>
            </w:r>
          </w:p>
        </w:tc>
        <w:tc>
          <w:tcPr>
            <w:tcW w:w="1258" w:type="dxa"/>
            <w:noWrap/>
          </w:tcPr>
          <w:p w14:paraId="3CE29760" w14:textId="2C962EA3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7.4%</w:t>
            </w:r>
          </w:p>
        </w:tc>
      </w:tr>
      <w:tr w:rsidR="0076273D" w:rsidRPr="00CF2862" w14:paraId="726E2B4E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D2DD21D" w14:textId="1887FAF5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1E271A9" w14:textId="33B35761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</w:tcPr>
          <w:p w14:paraId="072F330B" w14:textId="022BFDEE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PRSI Classes</w:t>
            </w:r>
          </w:p>
        </w:tc>
        <w:tc>
          <w:tcPr>
            <w:tcW w:w="1491" w:type="dxa"/>
            <w:noWrap/>
          </w:tcPr>
          <w:p w14:paraId="38C5EDE2" w14:textId="6CB95732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354</w:t>
            </w:r>
          </w:p>
        </w:tc>
        <w:tc>
          <w:tcPr>
            <w:tcW w:w="1258" w:type="dxa"/>
            <w:noWrap/>
          </w:tcPr>
          <w:p w14:paraId="1C43DC7B" w14:textId="1D52FACD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6.</w:t>
            </w:r>
            <w:r>
              <w:rPr>
                <w:rFonts w:ascii="Calibri" w:hAnsi="Calibri" w:cs="Calibri"/>
                <w:sz w:val="20"/>
                <w:szCs w:val="20"/>
              </w:rPr>
              <w:t>9%</w:t>
            </w:r>
          </w:p>
        </w:tc>
      </w:tr>
      <w:tr w:rsidR="0076273D" w:rsidRPr="00CF2862" w14:paraId="58898DB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7803A43" w14:textId="136C489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D47D79B" w14:textId="3C299296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</w:tcPr>
          <w:p w14:paraId="28274926" w14:textId="21E95425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Homemakers Scheme/HomeCaring Periods Scheme</w:t>
            </w:r>
          </w:p>
        </w:tc>
        <w:tc>
          <w:tcPr>
            <w:tcW w:w="1491" w:type="dxa"/>
            <w:noWrap/>
          </w:tcPr>
          <w:p w14:paraId="062E099B" w14:textId="0F4DC624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311</w:t>
            </w:r>
          </w:p>
        </w:tc>
        <w:tc>
          <w:tcPr>
            <w:tcW w:w="1258" w:type="dxa"/>
            <w:noWrap/>
          </w:tcPr>
          <w:p w14:paraId="2F3327C5" w14:textId="35B71D7C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6.1%</w:t>
            </w:r>
          </w:p>
        </w:tc>
      </w:tr>
      <w:tr w:rsidR="0076273D" w:rsidRPr="00CF2862" w14:paraId="643FE2B1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464C0D9" w14:textId="4CF2DFAF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8471700" w14:textId="1C7C1AE9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</w:tcPr>
          <w:p w14:paraId="1A4A3764" w14:textId="60212A6B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1491" w:type="dxa"/>
            <w:noWrap/>
          </w:tcPr>
          <w:p w14:paraId="2C3BA962" w14:textId="7365398A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1258" w:type="dxa"/>
            <w:noWrap/>
          </w:tcPr>
          <w:p w14:paraId="07DDD4F8" w14:textId="0D5D47D7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</w:tr>
      <w:tr w:rsidR="0076273D" w:rsidRPr="00CF2862" w14:paraId="34A7069B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AD8EE41" w14:textId="4E99BB60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4F390C7A" w14:textId="7AB63B85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</w:tcPr>
          <w:p w14:paraId="5AA08E7E" w14:textId="3C1661DD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Long-Term Carer Contributions</w:t>
            </w:r>
          </w:p>
        </w:tc>
        <w:tc>
          <w:tcPr>
            <w:tcW w:w="1491" w:type="dxa"/>
            <w:noWrap/>
          </w:tcPr>
          <w:p w14:paraId="5C87605F" w14:textId="41B54190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90</w:t>
            </w:r>
          </w:p>
        </w:tc>
        <w:tc>
          <w:tcPr>
            <w:tcW w:w="1258" w:type="dxa"/>
            <w:noWrap/>
          </w:tcPr>
          <w:p w14:paraId="50890C3B" w14:textId="61A108D4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1.8%</w:t>
            </w:r>
          </w:p>
        </w:tc>
      </w:tr>
      <w:tr w:rsidR="0076273D" w:rsidRPr="00CF2862" w14:paraId="2C90784F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C5CB018" w14:textId="79DC8CD9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ADC7A15" w14:textId="1D1446E3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</w:tcPr>
          <w:p w14:paraId="27447104" w14:textId="2DF0353A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Employer’s PRSI</w:t>
            </w:r>
          </w:p>
        </w:tc>
        <w:tc>
          <w:tcPr>
            <w:tcW w:w="1491" w:type="dxa"/>
            <w:noWrap/>
          </w:tcPr>
          <w:p w14:paraId="07B063D3" w14:textId="7336C5D6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56</w:t>
            </w:r>
          </w:p>
        </w:tc>
        <w:tc>
          <w:tcPr>
            <w:tcW w:w="1258" w:type="dxa"/>
            <w:noWrap/>
          </w:tcPr>
          <w:p w14:paraId="14F24011" w14:textId="1750A5CB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1%</w:t>
            </w:r>
          </w:p>
        </w:tc>
      </w:tr>
      <w:tr w:rsidR="0076273D" w:rsidRPr="00CF2862" w14:paraId="4F6F0449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578A06B" w14:textId="0BF52AC0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</w:tcPr>
          <w:p w14:paraId="6FAEFCA3" w14:textId="5775BE99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</w:tcPr>
          <w:p w14:paraId="271EFC44" w14:textId="5B1DCBEC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6AC08AB4" w14:textId="2124FC7F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113</w:t>
            </w:r>
          </w:p>
        </w:tc>
        <w:tc>
          <w:tcPr>
            <w:tcW w:w="1258" w:type="dxa"/>
            <w:noWrap/>
          </w:tcPr>
          <w:p w14:paraId="7795F899" w14:textId="22F74CDC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76273D" w:rsidRPr="00CF2862" w14:paraId="24B333B9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300E03C4" w14:textId="301F7609" w:rsidR="0076273D" w:rsidRPr="00CF2862" w:rsidRDefault="0076273D" w:rsidP="0049266B">
            <w:pPr>
              <w:tabs>
                <w:tab w:val="center" w:pos="6866"/>
                <w:tab w:val="left" w:pos="12570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Social </w:t>
            </w:r>
            <w:r w:rsidRPr="00757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Welfare Miscellaneous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5.3%</w:t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76273D" w:rsidRPr="00CF2862" w14:paraId="0F720EF1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9D3F88F" w14:textId="21082A1B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3F329D8" w14:textId="3C2B1A13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4298F72B" w14:textId="3B3B3438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491" w:type="dxa"/>
            <w:noWrap/>
            <w:hideMark/>
          </w:tcPr>
          <w:p w14:paraId="014F1334" w14:textId="0441A9BF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1,280</w:t>
            </w:r>
          </w:p>
        </w:tc>
        <w:tc>
          <w:tcPr>
            <w:tcW w:w="1258" w:type="dxa"/>
            <w:noWrap/>
            <w:hideMark/>
          </w:tcPr>
          <w:p w14:paraId="51A0588E" w14:textId="73280B46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26.8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584F44B6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5B3D9D7" w14:textId="366389EA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FB8DFF9" w14:textId="7E079BBC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72754F9C" w14:textId="4CCB063F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Public Services Card</w:t>
            </w:r>
          </w:p>
        </w:tc>
        <w:tc>
          <w:tcPr>
            <w:tcW w:w="1491" w:type="dxa"/>
            <w:noWrap/>
            <w:hideMark/>
          </w:tcPr>
          <w:p w14:paraId="197C1321" w14:textId="617CEFAA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1,015</w:t>
            </w:r>
          </w:p>
        </w:tc>
        <w:tc>
          <w:tcPr>
            <w:tcW w:w="1258" w:type="dxa"/>
            <w:noWrap/>
            <w:hideMark/>
          </w:tcPr>
          <w:p w14:paraId="47F68B6A" w14:textId="450B7DCB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0CBF97A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40BE6D6" w14:textId="54D66A99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90" w:type="dxa"/>
            <w:noWrap/>
            <w:hideMark/>
          </w:tcPr>
          <w:p w14:paraId="07A38F17" w14:textId="48A2BEFB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28B515D6" w14:textId="681D57BD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Means Tests</w:t>
            </w:r>
          </w:p>
        </w:tc>
        <w:tc>
          <w:tcPr>
            <w:tcW w:w="1491" w:type="dxa"/>
            <w:noWrap/>
            <w:hideMark/>
          </w:tcPr>
          <w:p w14:paraId="46137A39" w14:textId="700027DB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887</w:t>
            </w:r>
          </w:p>
        </w:tc>
        <w:tc>
          <w:tcPr>
            <w:tcW w:w="1258" w:type="dxa"/>
            <w:noWrap/>
            <w:hideMark/>
          </w:tcPr>
          <w:p w14:paraId="7444C17C" w14:textId="3D205171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18.6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18D8F9AB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D29A0D6" w14:textId="242E8D4B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10BE9F1" w14:textId="7DBACA63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311A7EDF" w14:textId="6AFC689F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Habitual Residence Condition</w:t>
            </w:r>
          </w:p>
        </w:tc>
        <w:tc>
          <w:tcPr>
            <w:tcW w:w="1491" w:type="dxa"/>
            <w:noWrap/>
            <w:hideMark/>
          </w:tcPr>
          <w:p w14:paraId="6081ECF4" w14:textId="2BD726BD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660</w:t>
            </w:r>
          </w:p>
        </w:tc>
        <w:tc>
          <w:tcPr>
            <w:tcW w:w="1258" w:type="dxa"/>
            <w:noWrap/>
            <w:hideMark/>
          </w:tcPr>
          <w:p w14:paraId="736C3277" w14:textId="33D1D794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1CC7E402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6EEC11A" w14:textId="4CF8A1DD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072F430" w14:textId="6D31C111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750EA4EF" w14:textId="336D5320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MyWelfare.ie</w:t>
            </w:r>
          </w:p>
        </w:tc>
        <w:tc>
          <w:tcPr>
            <w:tcW w:w="1491" w:type="dxa"/>
            <w:noWrap/>
            <w:hideMark/>
          </w:tcPr>
          <w:p w14:paraId="4DDA5A50" w14:textId="53853124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438</w:t>
            </w:r>
          </w:p>
        </w:tc>
        <w:tc>
          <w:tcPr>
            <w:tcW w:w="1258" w:type="dxa"/>
            <w:noWrap/>
            <w:hideMark/>
          </w:tcPr>
          <w:p w14:paraId="4CC781B5" w14:textId="6B5BDF74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9.2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062CD8BE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B82DFBE" w14:textId="6E2FC8E5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6CE4CA6" w14:textId="02E0507B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535F40DD" w14:textId="2104C76D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Overpayments</w:t>
            </w:r>
          </w:p>
        </w:tc>
        <w:tc>
          <w:tcPr>
            <w:tcW w:w="1491" w:type="dxa"/>
            <w:noWrap/>
            <w:hideMark/>
          </w:tcPr>
          <w:p w14:paraId="08483FD8" w14:textId="69423FA6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82</w:t>
            </w:r>
          </w:p>
        </w:tc>
        <w:tc>
          <w:tcPr>
            <w:tcW w:w="1258" w:type="dxa"/>
            <w:noWrap/>
            <w:hideMark/>
          </w:tcPr>
          <w:p w14:paraId="56C607FA" w14:textId="5B3D8727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5.9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6461652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C283726" w14:textId="02CC8AEE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DD8A909" w14:textId="7BFA7BE3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</w:tcPr>
          <w:p w14:paraId="5BD99E67" w14:textId="536FB2D8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EU Contributions and Entitlements</w:t>
            </w:r>
          </w:p>
        </w:tc>
        <w:tc>
          <w:tcPr>
            <w:tcW w:w="1491" w:type="dxa"/>
            <w:noWrap/>
          </w:tcPr>
          <w:p w14:paraId="469EB0FB" w14:textId="319CC784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83</w:t>
            </w:r>
          </w:p>
        </w:tc>
        <w:tc>
          <w:tcPr>
            <w:tcW w:w="1258" w:type="dxa"/>
            <w:noWrap/>
          </w:tcPr>
          <w:p w14:paraId="50F865AC" w14:textId="7590CBB9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00F9A734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6D29B1F" w14:textId="2E75FB0B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895DD64" w14:textId="7F2CB32D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</w:tcPr>
          <w:p w14:paraId="485AF2BC" w14:textId="70E2D1E9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UK Entitlements/Brexit</w:t>
            </w:r>
          </w:p>
        </w:tc>
        <w:tc>
          <w:tcPr>
            <w:tcW w:w="1491" w:type="dxa"/>
            <w:noWrap/>
          </w:tcPr>
          <w:p w14:paraId="641EF2FB" w14:textId="0DF89656" w:rsidR="0076273D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62</w:t>
            </w:r>
          </w:p>
        </w:tc>
        <w:tc>
          <w:tcPr>
            <w:tcW w:w="1258" w:type="dxa"/>
            <w:noWrap/>
          </w:tcPr>
          <w:p w14:paraId="125C7B7A" w14:textId="29BA7BF9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048EEA5B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AE94D57" w14:textId="053F3A48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348CAD7" w14:textId="65AB945A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</w:tcPr>
          <w:p w14:paraId="1A9A517B" w14:textId="02672361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Late Claims</w:t>
            </w:r>
          </w:p>
        </w:tc>
        <w:tc>
          <w:tcPr>
            <w:tcW w:w="1491" w:type="dxa"/>
            <w:noWrap/>
          </w:tcPr>
          <w:p w14:paraId="2D349814" w14:textId="1BB47D25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39</w:t>
            </w:r>
          </w:p>
        </w:tc>
        <w:tc>
          <w:tcPr>
            <w:tcW w:w="1258" w:type="dxa"/>
            <w:noWrap/>
          </w:tcPr>
          <w:p w14:paraId="55BB112E" w14:textId="6EAF7E3E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7EE82315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EFB5776" w14:textId="59981745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B571433" w14:textId="3AC19DBD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</w:tcPr>
          <w:p w14:paraId="46AEA332" w14:textId="4FDA07AC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SW Inspectors</w:t>
            </w:r>
          </w:p>
        </w:tc>
        <w:tc>
          <w:tcPr>
            <w:tcW w:w="1491" w:type="dxa"/>
            <w:noWrap/>
          </w:tcPr>
          <w:p w14:paraId="34B7979F" w14:textId="5D8AF60D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28</w:t>
            </w:r>
          </w:p>
        </w:tc>
        <w:tc>
          <w:tcPr>
            <w:tcW w:w="1258" w:type="dxa"/>
            <w:noWrap/>
          </w:tcPr>
          <w:p w14:paraId="02407C2B" w14:textId="363B9FB5" w:rsidR="0076273D" w:rsidRPr="006210C5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21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Pr="00621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3761E414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9AF6F56" w14:textId="4B4A6834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A4F27AF" w14:textId="008C63E4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</w:tcPr>
          <w:p w14:paraId="09B23E91" w14:textId="24E0E2DE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Insolvency Payments Scheme</w:t>
            </w:r>
          </w:p>
        </w:tc>
        <w:tc>
          <w:tcPr>
            <w:tcW w:w="1491" w:type="dxa"/>
            <w:noWrap/>
          </w:tcPr>
          <w:p w14:paraId="1616F9ED" w14:textId="22789D64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258" w:type="dxa"/>
            <w:noWrap/>
          </w:tcPr>
          <w:p w14:paraId="0A7EA3E3" w14:textId="2F4E8D70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0.0%</w:t>
            </w:r>
          </w:p>
        </w:tc>
      </w:tr>
      <w:tr w:rsidR="0076273D" w:rsidRPr="00CF2862" w14:paraId="4B6BE6BF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9C153F6" w14:textId="21642973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08BEF955" w14:textId="2A142ADD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216FFA30" w14:textId="0E664694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5FDDC1C7" w14:textId="4407B85B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4,775</w:t>
            </w:r>
          </w:p>
        </w:tc>
        <w:tc>
          <w:tcPr>
            <w:tcW w:w="1258" w:type="dxa"/>
            <w:noWrap/>
            <w:hideMark/>
          </w:tcPr>
          <w:p w14:paraId="595FCDED" w14:textId="77133978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76273D" w:rsidRPr="00CF2862" w14:paraId="4E7B910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432DC8C2" w14:textId="420012D5" w:rsidR="0076273D" w:rsidRPr="00CF2862" w:rsidRDefault="0076273D" w:rsidP="0049266B">
            <w:pPr>
              <w:tabs>
                <w:tab w:val="center" w:pos="6866"/>
                <w:tab w:val="left" w:pos="12555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Death Related Benefits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1.6%</w:t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76273D" w:rsidRPr="00CF2862" w14:paraId="227D0775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5773EC9" w14:textId="13F9A335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AB09A47" w14:textId="1CC29650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  <w:hideMark/>
          </w:tcPr>
          <w:p w14:paraId="641BA055" w14:textId="488FF961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Widow/Widower/Surviving Civil Partner's Pension (Contributory).</w:t>
            </w:r>
          </w:p>
        </w:tc>
        <w:tc>
          <w:tcPr>
            <w:tcW w:w="1491" w:type="dxa"/>
            <w:noWrap/>
            <w:hideMark/>
          </w:tcPr>
          <w:p w14:paraId="12E2D78A" w14:textId="52271681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06</w:t>
            </w:r>
          </w:p>
        </w:tc>
        <w:tc>
          <w:tcPr>
            <w:tcW w:w="1258" w:type="dxa"/>
            <w:noWrap/>
            <w:hideMark/>
          </w:tcPr>
          <w:p w14:paraId="237389DF" w14:textId="06271E33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62.9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762DD3EF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D5F0DEF" w14:textId="14A30139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2A64518" w14:textId="4C72B02A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</w:tcPr>
          <w:p w14:paraId="0FB57733" w14:textId="66DD0788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Help with Funeral Costs</w:t>
            </w:r>
          </w:p>
        </w:tc>
        <w:tc>
          <w:tcPr>
            <w:tcW w:w="1491" w:type="dxa"/>
            <w:noWrap/>
          </w:tcPr>
          <w:p w14:paraId="3FAA8BF6" w14:textId="227BD7E0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198</w:t>
            </w:r>
          </w:p>
        </w:tc>
        <w:tc>
          <w:tcPr>
            <w:tcW w:w="1258" w:type="dxa"/>
            <w:noWrap/>
          </w:tcPr>
          <w:p w14:paraId="0CC82B32" w14:textId="2C70497A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15B41998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193C602" w14:textId="094A84AE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D1FFE8A" w14:textId="0AD0BE70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</w:tcPr>
          <w:p w14:paraId="1F74B65F" w14:textId="24C883A9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Widow/Widower/Surviving Civil Partner's Pension (Non-Contributory).</w:t>
            </w:r>
          </w:p>
        </w:tc>
        <w:tc>
          <w:tcPr>
            <w:tcW w:w="1491" w:type="dxa"/>
            <w:noWrap/>
          </w:tcPr>
          <w:p w14:paraId="5B8523DD" w14:textId="66AB00E0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147</w:t>
            </w:r>
          </w:p>
        </w:tc>
        <w:tc>
          <w:tcPr>
            <w:tcW w:w="1258" w:type="dxa"/>
            <w:noWrap/>
          </w:tcPr>
          <w:p w14:paraId="1DBDCED2" w14:textId="2A5A491C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10.2%</w:t>
            </w:r>
          </w:p>
        </w:tc>
      </w:tr>
      <w:tr w:rsidR="0076273D" w:rsidRPr="00CF2862" w14:paraId="0A712582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946A4C0" w14:textId="66616942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62B2CFE" w14:textId="4210067B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</w:tcPr>
          <w:p w14:paraId="216A04E9" w14:textId="7BD58009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Widow/Widower/Surviving Civil Partner Grant</w:t>
            </w:r>
          </w:p>
        </w:tc>
        <w:tc>
          <w:tcPr>
            <w:tcW w:w="1491" w:type="dxa"/>
            <w:noWrap/>
          </w:tcPr>
          <w:p w14:paraId="7B4B230D" w14:textId="179E366A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08</w:t>
            </w:r>
          </w:p>
        </w:tc>
        <w:tc>
          <w:tcPr>
            <w:tcW w:w="1258" w:type="dxa"/>
            <w:noWrap/>
          </w:tcPr>
          <w:p w14:paraId="0C8CA3B6" w14:textId="5533A2F1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5F553061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1B89C08" w14:textId="3EF0E948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246B467" w14:textId="107DEEF6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  <w:hideMark/>
          </w:tcPr>
          <w:p w14:paraId="3D83908F" w14:textId="57B6A086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Guardian's Payment</w:t>
            </w:r>
          </w:p>
        </w:tc>
        <w:tc>
          <w:tcPr>
            <w:tcW w:w="1491" w:type="dxa"/>
            <w:noWrap/>
            <w:hideMark/>
          </w:tcPr>
          <w:p w14:paraId="7B4DA02D" w14:textId="2600D4FB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61</w:t>
            </w:r>
          </w:p>
        </w:tc>
        <w:tc>
          <w:tcPr>
            <w:tcW w:w="1258" w:type="dxa"/>
            <w:noWrap/>
            <w:hideMark/>
          </w:tcPr>
          <w:p w14:paraId="6C06E391" w14:textId="1375CE01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4.2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1457F71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22DD912" w14:textId="67BEF462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3ED6D98" w14:textId="0A152538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  <w:hideMark/>
          </w:tcPr>
          <w:p w14:paraId="169222D5" w14:textId="37529922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Special Funeral Grant (Occ. Injuries Scheme only)</w:t>
            </w:r>
          </w:p>
        </w:tc>
        <w:tc>
          <w:tcPr>
            <w:tcW w:w="1491" w:type="dxa"/>
            <w:noWrap/>
            <w:hideMark/>
          </w:tcPr>
          <w:p w14:paraId="7F4F0B35" w14:textId="4EC02615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1258" w:type="dxa"/>
            <w:noWrap/>
            <w:hideMark/>
          </w:tcPr>
          <w:p w14:paraId="166DFB8C" w14:textId="2F465931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1.4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75CDBAC6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DAFD16E" w14:textId="774AE5DD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2D021DC9" w14:textId="24BA2E92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453D8408" w14:textId="38057682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63FF02D7" w14:textId="5E77280F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440</w:t>
            </w:r>
          </w:p>
        </w:tc>
        <w:tc>
          <w:tcPr>
            <w:tcW w:w="1258" w:type="dxa"/>
            <w:noWrap/>
            <w:hideMark/>
          </w:tcPr>
          <w:p w14:paraId="491CED70" w14:textId="435BE35B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76273D" w:rsidRPr="00CF2862" w14:paraId="43D9E0F8" w14:textId="77777777" w:rsidTr="0014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</w:tcPr>
          <w:p w14:paraId="01054FFA" w14:textId="68C9BEB3" w:rsidR="0076273D" w:rsidRPr="00CF2862" w:rsidRDefault="0049266B" w:rsidP="0049266B">
            <w:pPr>
              <w:tabs>
                <w:tab w:val="center" w:pos="6540"/>
                <w:tab w:val="left" w:pos="7336"/>
                <w:tab w:val="right" w:pos="13081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76273D"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Benefits Check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1.4%</w:t>
            </w:r>
          </w:p>
        </w:tc>
      </w:tr>
      <w:tr w:rsidR="0076273D" w:rsidRPr="00CF2862" w14:paraId="324278C6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D7FC390" w14:textId="090A82A9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97E4874" w14:textId="73433195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- Benefits Check</w:t>
            </w:r>
          </w:p>
        </w:tc>
        <w:tc>
          <w:tcPr>
            <w:tcW w:w="4888" w:type="dxa"/>
            <w:noWrap/>
          </w:tcPr>
          <w:p w14:paraId="4CAE3526" w14:textId="73D21710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Social Welfare - Benefits Check</w:t>
            </w:r>
          </w:p>
        </w:tc>
        <w:tc>
          <w:tcPr>
            <w:tcW w:w="1491" w:type="dxa"/>
            <w:noWrap/>
          </w:tcPr>
          <w:p w14:paraId="5239D6AF" w14:textId="5DCBBD6B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255</w:t>
            </w:r>
          </w:p>
        </w:tc>
        <w:tc>
          <w:tcPr>
            <w:tcW w:w="1258" w:type="dxa"/>
            <w:noWrap/>
          </w:tcPr>
          <w:p w14:paraId="0FEDD649" w14:textId="6C2E8E68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76273D" w:rsidRPr="00CF2862" w14:paraId="154741E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A0CF91A" w14:textId="511A1222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</w:tcPr>
          <w:p w14:paraId="6EBD4105" w14:textId="703680FC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</w:tcPr>
          <w:p w14:paraId="6D745034" w14:textId="75FF2D31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2235D09B" w14:textId="5975B57F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255</w:t>
            </w:r>
          </w:p>
        </w:tc>
        <w:tc>
          <w:tcPr>
            <w:tcW w:w="1258" w:type="dxa"/>
            <w:noWrap/>
          </w:tcPr>
          <w:p w14:paraId="05908B93" w14:textId="13C0BD5B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76273D" w:rsidRPr="00CF2862" w14:paraId="2FC973AC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</w:tcPr>
          <w:p w14:paraId="34475660" w14:textId="17DF4DDF" w:rsidR="0076273D" w:rsidRPr="00CF2862" w:rsidRDefault="0076273D" w:rsidP="0049266B">
            <w:pPr>
              <w:tabs>
                <w:tab w:val="center" w:pos="6866"/>
                <w:tab w:val="left" w:pos="12330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Appeals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1.4%</w:t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76273D" w:rsidRPr="00CF2862" w14:paraId="6E84F961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DA92598" w14:textId="5DBDBAAD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D1438A6" w14:textId="52AF6FFD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5BCDF8AB" w14:textId="2F682164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491" w:type="dxa"/>
            <w:noWrap/>
          </w:tcPr>
          <w:p w14:paraId="07C99316" w14:textId="609226E7" w:rsidR="0076273D" w:rsidRPr="00B561A4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1258" w:type="dxa"/>
            <w:noWrap/>
          </w:tcPr>
          <w:p w14:paraId="5B1C7A19" w14:textId="271B2F69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33.2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387646DD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CBD97C2" w14:textId="7B6C03A5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07394F6" w14:textId="79D4B7F7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4D269701" w14:textId="70A275A4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Invalidity Pension</w:t>
            </w:r>
          </w:p>
        </w:tc>
        <w:tc>
          <w:tcPr>
            <w:tcW w:w="1491" w:type="dxa"/>
            <w:noWrap/>
          </w:tcPr>
          <w:p w14:paraId="5C7BE1F2" w14:textId="47881F3A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203</w:t>
            </w:r>
          </w:p>
        </w:tc>
        <w:tc>
          <w:tcPr>
            <w:tcW w:w="1258" w:type="dxa"/>
            <w:noWrap/>
          </w:tcPr>
          <w:p w14:paraId="1797DFED" w14:textId="20FE34CF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16.4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26CFABD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6DBBEAC" w14:textId="29902A25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72EBF34" w14:textId="1AAD97D9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7769E4E3" w14:textId="10A72179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Allowance/Benefit</w:t>
            </w:r>
          </w:p>
        </w:tc>
        <w:tc>
          <w:tcPr>
            <w:tcW w:w="1491" w:type="dxa"/>
            <w:noWrap/>
          </w:tcPr>
          <w:p w14:paraId="347EBEBE" w14:textId="05AB4FD8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176</w:t>
            </w:r>
          </w:p>
        </w:tc>
        <w:tc>
          <w:tcPr>
            <w:tcW w:w="1258" w:type="dxa"/>
            <w:noWrap/>
          </w:tcPr>
          <w:p w14:paraId="7D68569C" w14:textId="64650497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14.2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15393AF3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2BAF6D8" w14:textId="3441BEC9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99C756A" w14:textId="59410048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72513F24" w14:textId="2DB4AD23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491" w:type="dxa"/>
            <w:noWrap/>
          </w:tcPr>
          <w:p w14:paraId="31F04DE7" w14:textId="6802B044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00</w:t>
            </w:r>
          </w:p>
        </w:tc>
        <w:tc>
          <w:tcPr>
            <w:tcW w:w="1258" w:type="dxa"/>
            <w:noWrap/>
          </w:tcPr>
          <w:p w14:paraId="6AE95A47" w14:textId="5AB63627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8.1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32BA1D3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692C729" w14:textId="0C5EE052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7EF4C95" w14:textId="2ED06E0D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2259BE0E" w14:textId="0D1AAE69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1491" w:type="dxa"/>
            <w:noWrap/>
          </w:tcPr>
          <w:p w14:paraId="67DCF554" w14:textId="2F4D401A" w:rsidR="0076273D" w:rsidRPr="00B561A4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84</w:t>
            </w:r>
          </w:p>
        </w:tc>
        <w:tc>
          <w:tcPr>
            <w:tcW w:w="1258" w:type="dxa"/>
            <w:noWrap/>
          </w:tcPr>
          <w:p w14:paraId="22BC73FB" w14:textId="6868281C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24353B42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E05332E" w14:textId="253341DF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90" w:type="dxa"/>
            <w:noWrap/>
          </w:tcPr>
          <w:p w14:paraId="08894195" w14:textId="3A72C813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14A5AAC0" w14:textId="6072665B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Domiciliary Care Allowance</w:t>
            </w:r>
          </w:p>
        </w:tc>
        <w:tc>
          <w:tcPr>
            <w:tcW w:w="1491" w:type="dxa"/>
            <w:noWrap/>
          </w:tcPr>
          <w:p w14:paraId="32945560" w14:textId="28B9CF7D" w:rsidR="0076273D" w:rsidRPr="00B561A4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60</w:t>
            </w:r>
          </w:p>
        </w:tc>
        <w:tc>
          <w:tcPr>
            <w:tcW w:w="1258" w:type="dxa"/>
            <w:noWrap/>
          </w:tcPr>
          <w:p w14:paraId="7F9C249B" w14:textId="3DC3182A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69327259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A8D560D" w14:textId="3A7D8EEE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B2ADF54" w14:textId="7DE115F4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76C6729A" w14:textId="3F142C26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Supplementary Welfare Allowance</w:t>
            </w:r>
          </w:p>
        </w:tc>
        <w:tc>
          <w:tcPr>
            <w:tcW w:w="1491" w:type="dxa"/>
            <w:noWrap/>
          </w:tcPr>
          <w:p w14:paraId="36277D06" w14:textId="6F0712E6" w:rsidR="0076273D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40</w:t>
            </w:r>
          </w:p>
        </w:tc>
        <w:tc>
          <w:tcPr>
            <w:tcW w:w="1258" w:type="dxa"/>
            <w:noWrap/>
          </w:tcPr>
          <w:p w14:paraId="23F42B6B" w14:textId="1E6810A3" w:rsidR="0076273D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3.2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382B64A1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3D8C128" w14:textId="411C00BD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D76F23A" w14:textId="6A553C02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7737549D" w14:textId="62EC0166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State Pension (Non-Contributory)</w:t>
            </w:r>
          </w:p>
        </w:tc>
        <w:tc>
          <w:tcPr>
            <w:tcW w:w="1491" w:type="dxa"/>
            <w:noWrap/>
          </w:tcPr>
          <w:p w14:paraId="20B5F80F" w14:textId="559B9E0B" w:rsidR="0076273D" w:rsidRPr="00B561A4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1258" w:type="dxa"/>
            <w:noWrap/>
          </w:tcPr>
          <w:p w14:paraId="7FFA1603" w14:textId="27379B0E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3499865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1BE239F" w14:textId="7D9B562F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6695937" w14:textId="4B46380B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62904D46" w14:textId="5FE0D848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1491" w:type="dxa"/>
            <w:noWrap/>
          </w:tcPr>
          <w:p w14:paraId="54F15C68" w14:textId="4FD63DA3" w:rsidR="0076273D" w:rsidRPr="00B561A4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1258" w:type="dxa"/>
            <w:noWrap/>
          </w:tcPr>
          <w:p w14:paraId="4A72E3CA" w14:textId="762554AA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41948DF8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ACD1480" w14:textId="41C863BF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8985854" w14:textId="3FA75F71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678162A8" w14:textId="13054FB7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1491" w:type="dxa"/>
            <w:noWrap/>
          </w:tcPr>
          <w:p w14:paraId="69B2C68F" w14:textId="7796F963" w:rsidR="0076273D" w:rsidRPr="00B561A4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1258" w:type="dxa"/>
            <w:noWrap/>
          </w:tcPr>
          <w:p w14:paraId="0A783BA3" w14:textId="72C519A7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1.9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6A8FDF8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2EC265D" w14:textId="5ADB8461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888B61F" w14:textId="327272A7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4FBF9229" w14:textId="6BA53C58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Working Family Payment (WFP)</w:t>
            </w:r>
          </w:p>
        </w:tc>
        <w:tc>
          <w:tcPr>
            <w:tcW w:w="1491" w:type="dxa"/>
            <w:noWrap/>
          </w:tcPr>
          <w:p w14:paraId="03571301" w14:textId="7159E91D" w:rsidR="0076273D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22</w:t>
            </w:r>
          </w:p>
        </w:tc>
        <w:tc>
          <w:tcPr>
            <w:tcW w:w="1258" w:type="dxa"/>
            <w:noWrap/>
          </w:tcPr>
          <w:p w14:paraId="3E80B440" w14:textId="3B8D688C" w:rsidR="0076273D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1.8%</w:t>
            </w:r>
          </w:p>
        </w:tc>
      </w:tr>
      <w:tr w:rsidR="0076273D" w:rsidRPr="00CF2862" w14:paraId="1193AE0B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0D267AE" w14:textId="62891DA3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2E07A11" w14:textId="4142E03D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08B7C1C2" w14:textId="3DA15ED3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1491" w:type="dxa"/>
            <w:noWrap/>
          </w:tcPr>
          <w:p w14:paraId="0C90F251" w14:textId="6CD977F1" w:rsidR="0076273D" w:rsidRPr="00B561A4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1258" w:type="dxa"/>
            <w:noWrap/>
          </w:tcPr>
          <w:p w14:paraId="2FACC1CD" w14:textId="5E5CEC3B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128BA7E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724D5FE" w14:textId="7AB02C4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B324112" w14:textId="539F9953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01F73A8A" w14:textId="2CC9F6F8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State Pension (Contributory)</w:t>
            </w:r>
          </w:p>
        </w:tc>
        <w:tc>
          <w:tcPr>
            <w:tcW w:w="1491" w:type="dxa"/>
            <w:noWrap/>
          </w:tcPr>
          <w:p w14:paraId="048D824C" w14:textId="746C2EAE" w:rsidR="0076273D" w:rsidRPr="00B561A4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1258" w:type="dxa"/>
            <w:noWrap/>
          </w:tcPr>
          <w:p w14:paraId="43CC6000" w14:textId="59F62812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41B30E1E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A494F69" w14:textId="44A35230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9782DB6" w14:textId="4894DC05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527E6C4B" w14:textId="11C98AD4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1491" w:type="dxa"/>
            <w:noWrap/>
          </w:tcPr>
          <w:p w14:paraId="570D5688" w14:textId="74ACDB07" w:rsidR="0076273D" w:rsidRPr="00B561A4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1258" w:type="dxa"/>
            <w:noWrap/>
          </w:tcPr>
          <w:p w14:paraId="35BD7EB7" w14:textId="2219CFA8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5FCA738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9DF6470" w14:textId="412336A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A1CC346" w14:textId="7EF469D3" w:rsidR="0076273D" w:rsidRPr="00834785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1C7C432D" w14:textId="018CB699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Widow/Widower/surviving Civil Partner Pension</w:t>
            </w:r>
          </w:p>
        </w:tc>
        <w:tc>
          <w:tcPr>
            <w:tcW w:w="1491" w:type="dxa"/>
            <w:noWrap/>
          </w:tcPr>
          <w:p w14:paraId="6629DAA8" w14:textId="6B0A45BB" w:rsidR="0076273D" w:rsidRPr="00B561A4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1258" w:type="dxa"/>
            <w:noWrap/>
          </w:tcPr>
          <w:p w14:paraId="6EB6398B" w14:textId="2830DA58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3A4CA685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5BEF399" w14:textId="155F0D2D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9942C04" w14:textId="7A89347C" w:rsidR="0076273D" w:rsidRPr="00834785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74698F49" w14:textId="7CAF81A3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Support Grant</w:t>
            </w:r>
          </w:p>
        </w:tc>
        <w:tc>
          <w:tcPr>
            <w:tcW w:w="1491" w:type="dxa"/>
            <w:noWrap/>
          </w:tcPr>
          <w:p w14:paraId="10AACAB3" w14:textId="0D721A26" w:rsidR="0076273D" w:rsidRPr="00B561A4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1258" w:type="dxa"/>
            <w:noWrap/>
          </w:tcPr>
          <w:p w14:paraId="032EED27" w14:textId="5F2D8413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52EB429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F5A3A21" w14:textId="2BA2DE13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</w:tcPr>
          <w:p w14:paraId="6374D67C" w14:textId="222E4470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</w:tcPr>
          <w:p w14:paraId="14552C5D" w14:textId="640445BE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2293B30B" w14:textId="7AB80161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,</w:t>
            </w:r>
            <w:r w:rsidR="00FE5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240</w:t>
            </w:r>
          </w:p>
        </w:tc>
        <w:tc>
          <w:tcPr>
            <w:tcW w:w="1258" w:type="dxa"/>
            <w:noWrap/>
          </w:tcPr>
          <w:p w14:paraId="17487CDF" w14:textId="453A805D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76273D" w:rsidRPr="00CF2862" w14:paraId="792E40FA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</w:tcPr>
          <w:p w14:paraId="599661AE" w14:textId="560E2E76" w:rsidR="0076273D" w:rsidRPr="00076968" w:rsidRDefault="0076273D" w:rsidP="0049266B">
            <w:pPr>
              <w:tabs>
                <w:tab w:val="center" w:pos="6866"/>
                <w:tab w:val="right" w:pos="13081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076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Activation Schemes, Education and Training</w:t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1.4%</w:t>
            </w:r>
          </w:p>
        </w:tc>
      </w:tr>
      <w:tr w:rsidR="0076273D" w:rsidRPr="00CF2862" w14:paraId="5C155F1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E7F9ED1" w14:textId="4D88F215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21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0FCBCA1" w14:textId="19BBEEA4" w:rsidR="0076273D" w:rsidRPr="00884628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7ADD13F9" w14:textId="62CCC490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Back to Education Allowance (BTEA)</w:t>
            </w:r>
          </w:p>
        </w:tc>
        <w:tc>
          <w:tcPr>
            <w:tcW w:w="1491" w:type="dxa"/>
            <w:noWrap/>
          </w:tcPr>
          <w:p w14:paraId="0E542D19" w14:textId="104B4547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373</w:t>
            </w:r>
          </w:p>
        </w:tc>
        <w:tc>
          <w:tcPr>
            <w:tcW w:w="1258" w:type="dxa"/>
            <w:noWrap/>
          </w:tcPr>
          <w:p w14:paraId="4E52DDD7" w14:textId="40525E94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</w:tr>
      <w:tr w:rsidR="0076273D" w:rsidRPr="00CF2862" w14:paraId="0CFCD261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AECE079" w14:textId="32073E21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C6C5EDF" w14:textId="5AE741A4" w:rsidR="0076273D" w:rsidRPr="00884628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54804D7A" w14:textId="3E8C4500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Community Employment (CE)</w:t>
            </w:r>
          </w:p>
        </w:tc>
        <w:tc>
          <w:tcPr>
            <w:tcW w:w="1491" w:type="dxa"/>
            <w:noWrap/>
          </w:tcPr>
          <w:p w14:paraId="59293190" w14:textId="5549BF4B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299</w:t>
            </w:r>
          </w:p>
        </w:tc>
        <w:tc>
          <w:tcPr>
            <w:tcW w:w="1258" w:type="dxa"/>
            <w:noWrap/>
          </w:tcPr>
          <w:p w14:paraId="1C5F3EE7" w14:textId="1B70A276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24.4%</w:t>
            </w:r>
          </w:p>
        </w:tc>
      </w:tr>
      <w:tr w:rsidR="0076273D" w:rsidRPr="00CF2862" w14:paraId="0C90D6C4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A1F7807" w14:textId="55E790F1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44C8581" w14:textId="2FB05C5F" w:rsidR="0076273D" w:rsidRPr="00884628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06AA5AFE" w14:textId="229BC123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Back to Work Enterprise Allowance (BTWEA)</w:t>
            </w:r>
          </w:p>
        </w:tc>
        <w:tc>
          <w:tcPr>
            <w:tcW w:w="1491" w:type="dxa"/>
            <w:noWrap/>
          </w:tcPr>
          <w:p w14:paraId="50716D6E" w14:textId="3ADC7AC9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286</w:t>
            </w:r>
          </w:p>
        </w:tc>
        <w:tc>
          <w:tcPr>
            <w:tcW w:w="1258" w:type="dxa"/>
            <w:noWrap/>
          </w:tcPr>
          <w:p w14:paraId="2A8006C7" w14:textId="5AB9F5C9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23.3%</w:t>
            </w:r>
          </w:p>
        </w:tc>
      </w:tr>
      <w:tr w:rsidR="0076273D" w:rsidRPr="00CF2862" w14:paraId="4DCC008A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152151C" w14:textId="5D9C203F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500B3FC" w14:textId="498E0C25" w:rsidR="0076273D" w:rsidRPr="00884628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070571BD" w14:textId="6974B990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Rural Social Scheme</w:t>
            </w:r>
          </w:p>
        </w:tc>
        <w:tc>
          <w:tcPr>
            <w:tcW w:w="1491" w:type="dxa"/>
            <w:noWrap/>
          </w:tcPr>
          <w:p w14:paraId="76E9130F" w14:textId="1A53185F" w:rsidR="0076273D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59</w:t>
            </w:r>
          </w:p>
        </w:tc>
        <w:tc>
          <w:tcPr>
            <w:tcW w:w="1258" w:type="dxa"/>
            <w:noWrap/>
          </w:tcPr>
          <w:p w14:paraId="668D1784" w14:textId="5A28DAF3" w:rsidR="0076273D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4.8%</w:t>
            </w:r>
          </w:p>
        </w:tc>
      </w:tr>
      <w:tr w:rsidR="0076273D" w:rsidRPr="00CF2862" w14:paraId="60382E9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B8BC1D8" w14:textId="3A6362A8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B984E7E" w14:textId="11CCAA64" w:rsidR="0076273D" w:rsidRPr="00884628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0D07F525" w14:textId="42E009AE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Tús</w:t>
            </w:r>
          </w:p>
        </w:tc>
        <w:tc>
          <w:tcPr>
            <w:tcW w:w="1491" w:type="dxa"/>
            <w:noWrap/>
          </w:tcPr>
          <w:p w14:paraId="055436DB" w14:textId="54C333FE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55</w:t>
            </w:r>
          </w:p>
        </w:tc>
        <w:tc>
          <w:tcPr>
            <w:tcW w:w="1258" w:type="dxa"/>
            <w:noWrap/>
          </w:tcPr>
          <w:p w14:paraId="0AC91BB2" w14:textId="5206275B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4.5%</w:t>
            </w:r>
          </w:p>
        </w:tc>
      </w:tr>
      <w:tr w:rsidR="0076273D" w:rsidRPr="00CF2862" w14:paraId="07BFA1C2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6612AA7" w14:textId="3A4835B2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8AE3EE8" w14:textId="7F40B870" w:rsidR="0076273D" w:rsidRPr="00884628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0FB015E3" w14:textId="77BFB73E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JobPath</w:t>
            </w:r>
            <w:proofErr w:type="spellEnd"/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- Seetec/Turas Nua</w:t>
            </w:r>
          </w:p>
        </w:tc>
        <w:tc>
          <w:tcPr>
            <w:tcW w:w="1491" w:type="dxa"/>
            <w:noWrap/>
          </w:tcPr>
          <w:p w14:paraId="71446381" w14:textId="34B14EE0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41</w:t>
            </w:r>
          </w:p>
        </w:tc>
        <w:tc>
          <w:tcPr>
            <w:tcW w:w="1258" w:type="dxa"/>
            <w:noWrap/>
          </w:tcPr>
          <w:p w14:paraId="67AA34FC" w14:textId="57A2E103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76273D" w:rsidRPr="00CF2862" w14:paraId="06804C7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129CB00" w14:textId="5FDB2C7F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B5D79D2" w14:textId="7646FC05" w:rsidR="0076273D" w:rsidRPr="00884628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1C173752" w14:textId="1C3F3DA3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Short-Term Enterprise Allowance</w:t>
            </w:r>
          </w:p>
        </w:tc>
        <w:tc>
          <w:tcPr>
            <w:tcW w:w="1491" w:type="dxa"/>
            <w:noWrap/>
          </w:tcPr>
          <w:p w14:paraId="41B209F3" w14:textId="4F34A9FC" w:rsidR="0076273D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1258" w:type="dxa"/>
            <w:noWrap/>
          </w:tcPr>
          <w:p w14:paraId="66347BDA" w14:textId="26A3F5A3" w:rsidR="0076273D" w:rsidRPr="004D7EC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D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2.2%</w:t>
            </w:r>
          </w:p>
        </w:tc>
      </w:tr>
      <w:tr w:rsidR="0076273D" w:rsidRPr="00CF2862" w14:paraId="7D9B2BA0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3FA6F7B" w14:textId="1A6EBA44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99380A0" w14:textId="24EC888A" w:rsidR="0076273D" w:rsidRPr="00884628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6ABA43C7" w14:textId="213ED4B3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Part-time Education Option (PTEO)</w:t>
            </w:r>
          </w:p>
        </w:tc>
        <w:tc>
          <w:tcPr>
            <w:tcW w:w="1491" w:type="dxa"/>
            <w:noWrap/>
          </w:tcPr>
          <w:p w14:paraId="06C71857" w14:textId="03051692" w:rsidR="0076273D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258" w:type="dxa"/>
            <w:noWrap/>
          </w:tcPr>
          <w:p w14:paraId="1EFD7C6D" w14:textId="1FF94541" w:rsidR="0076273D" w:rsidRPr="00D55407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</w:tr>
      <w:tr w:rsidR="0076273D" w:rsidRPr="00CF2862" w14:paraId="561D3D82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DAD4CC4" w14:textId="7B94F85D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C66EB5F" w14:textId="1D08F6E8" w:rsidR="0076273D" w:rsidRPr="00884628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73607220" w14:textId="211CCFC2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Work Placement Experience Programme (WPEP)</w:t>
            </w:r>
          </w:p>
        </w:tc>
        <w:tc>
          <w:tcPr>
            <w:tcW w:w="1491" w:type="dxa"/>
            <w:noWrap/>
          </w:tcPr>
          <w:p w14:paraId="560734ED" w14:textId="628634E1" w:rsidR="0076273D" w:rsidRPr="00B561A4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1258" w:type="dxa"/>
            <w:noWrap/>
          </w:tcPr>
          <w:p w14:paraId="6D865950" w14:textId="400698F7" w:rsidR="0076273D" w:rsidRPr="004D7EC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D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1.7%</w:t>
            </w:r>
          </w:p>
        </w:tc>
      </w:tr>
      <w:tr w:rsidR="0076273D" w:rsidRPr="00CF2862" w14:paraId="69C46C68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60B028B" w14:textId="163DEC4F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F6D6B7B" w14:textId="609F3FBB" w:rsidR="0076273D" w:rsidRPr="00884628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03C1377D" w14:textId="585CC924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LAES (Local Area Employment Services)</w:t>
            </w:r>
          </w:p>
        </w:tc>
        <w:tc>
          <w:tcPr>
            <w:tcW w:w="1491" w:type="dxa"/>
            <w:noWrap/>
          </w:tcPr>
          <w:p w14:paraId="267A55CF" w14:textId="595D9915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1258" w:type="dxa"/>
            <w:noWrap/>
          </w:tcPr>
          <w:p w14:paraId="3E3A9DCC" w14:textId="7C9314CF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</w:tr>
      <w:tr w:rsidR="0076273D" w:rsidRPr="00CF2862" w14:paraId="4705805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FB56CFD" w14:textId="65A2069C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90" w:type="dxa"/>
            <w:noWrap/>
          </w:tcPr>
          <w:p w14:paraId="1E2318B4" w14:textId="13E47DA5" w:rsidR="0076273D" w:rsidRPr="00884628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43776F5B" w14:textId="3FB4D6CB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Part-Time Job Incentive Scheme (PTJI)</w:t>
            </w:r>
          </w:p>
        </w:tc>
        <w:tc>
          <w:tcPr>
            <w:tcW w:w="1491" w:type="dxa"/>
            <w:noWrap/>
          </w:tcPr>
          <w:p w14:paraId="57F7D837" w14:textId="76F65898" w:rsidR="0076273D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1258" w:type="dxa"/>
            <w:noWrap/>
          </w:tcPr>
          <w:p w14:paraId="5A2E8DDF" w14:textId="31BF29F3" w:rsidR="0076273D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sz w:val="20"/>
                <w:szCs w:val="20"/>
              </w:rPr>
              <w:t>9%</w:t>
            </w:r>
          </w:p>
        </w:tc>
      </w:tr>
      <w:tr w:rsidR="0076273D" w:rsidRPr="00CF2862" w14:paraId="3609525E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F7FAEB2" w14:textId="2471FFDF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05D9F21" w14:textId="4471D245" w:rsidR="0076273D" w:rsidRPr="00884628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32AEA53B" w14:textId="113589F8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JobsPlus</w:t>
            </w:r>
            <w:proofErr w:type="spellEnd"/>
          </w:p>
        </w:tc>
        <w:tc>
          <w:tcPr>
            <w:tcW w:w="1491" w:type="dxa"/>
            <w:noWrap/>
          </w:tcPr>
          <w:p w14:paraId="7105A604" w14:textId="1CCA6ACF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258" w:type="dxa"/>
            <w:noWrap/>
          </w:tcPr>
          <w:p w14:paraId="00BEE2A4" w14:textId="126B6115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</w:tr>
      <w:tr w:rsidR="0076273D" w:rsidRPr="00CF2862" w14:paraId="0760B0C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3125D84" w14:textId="445CD876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29A5CDB" w14:textId="38E90368" w:rsidR="0076273D" w:rsidRPr="00884628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66E91778" w14:textId="50E47C1E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JobBridge</w:t>
            </w:r>
            <w:proofErr w:type="spellEnd"/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/ First Steps - Youth Internship</w:t>
            </w:r>
          </w:p>
        </w:tc>
        <w:tc>
          <w:tcPr>
            <w:tcW w:w="1491" w:type="dxa"/>
            <w:noWrap/>
          </w:tcPr>
          <w:p w14:paraId="1736559A" w14:textId="687A6B41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58" w:type="dxa"/>
            <w:noWrap/>
          </w:tcPr>
          <w:p w14:paraId="1A7EA3DA" w14:textId="3B718D15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sz w:val="20"/>
                <w:szCs w:val="20"/>
              </w:rPr>
              <w:t>2%</w:t>
            </w:r>
          </w:p>
        </w:tc>
      </w:tr>
      <w:tr w:rsidR="0076273D" w:rsidRPr="00CF2862" w14:paraId="21E58702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25DB0B5" w14:textId="69A6AA9C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F510C5C" w14:textId="39EC2220" w:rsidR="0076273D" w:rsidRPr="00772796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727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235401E3" w14:textId="32E5FE57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Gateway</w:t>
            </w:r>
          </w:p>
        </w:tc>
        <w:tc>
          <w:tcPr>
            <w:tcW w:w="1491" w:type="dxa"/>
            <w:noWrap/>
          </w:tcPr>
          <w:p w14:paraId="68D91A7C" w14:textId="26D62151" w:rsidR="0076273D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58" w:type="dxa"/>
            <w:noWrap/>
          </w:tcPr>
          <w:p w14:paraId="6BD9E9A6" w14:textId="5A75688C" w:rsidR="0076273D" w:rsidRPr="00D55407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</w:tr>
      <w:tr w:rsidR="0076273D" w:rsidRPr="00CF2862" w14:paraId="3B911DF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36B4A58" w14:textId="1CCD0B18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3790" w:type="dxa"/>
            <w:noWrap/>
          </w:tcPr>
          <w:p w14:paraId="660FC957" w14:textId="58A71492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888" w:type="dxa"/>
            <w:noWrap/>
          </w:tcPr>
          <w:p w14:paraId="06ABF15D" w14:textId="0E3E2AC2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0D573FB3" w14:textId="0345E37A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227</w:t>
            </w:r>
          </w:p>
        </w:tc>
        <w:tc>
          <w:tcPr>
            <w:tcW w:w="1258" w:type="dxa"/>
            <w:noWrap/>
          </w:tcPr>
          <w:p w14:paraId="6733715E" w14:textId="1991C91B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76273D" w:rsidRPr="00CF2862" w14:paraId="6F42E545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36CCF0E9" w14:textId="6CBB2B57" w:rsidR="0076273D" w:rsidRPr="00076968" w:rsidRDefault="0076273D" w:rsidP="0049266B">
            <w:pPr>
              <w:tabs>
                <w:tab w:val="center" w:pos="6866"/>
                <w:tab w:val="left" w:pos="12555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076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Payments and Work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0.8%</w:t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76273D" w:rsidRPr="00CF2862" w14:paraId="38588CE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46284F8" w14:textId="754A3342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hideMark/>
          </w:tcPr>
          <w:p w14:paraId="02941682" w14:textId="43090230" w:rsidR="0076273D" w:rsidRPr="003E603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E60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4888" w:type="dxa"/>
            <w:hideMark/>
          </w:tcPr>
          <w:p w14:paraId="063028CF" w14:textId="2F633F6D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1491" w:type="dxa"/>
            <w:noWrap/>
            <w:hideMark/>
          </w:tcPr>
          <w:p w14:paraId="009A4DCB" w14:textId="6B20FCC0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762</w:t>
            </w:r>
          </w:p>
        </w:tc>
        <w:tc>
          <w:tcPr>
            <w:tcW w:w="1258" w:type="dxa"/>
            <w:noWrap/>
            <w:hideMark/>
          </w:tcPr>
          <w:p w14:paraId="3AA71EE2" w14:textId="2ADD4ACB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76273D" w:rsidRPr="00CF2862" w14:paraId="070295D8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821B522" w14:textId="2218E713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002EBCEF" w14:textId="40C9A897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1C12DFAA" w14:textId="52139D61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1B1B3123" w14:textId="7720C25E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762</w:t>
            </w:r>
          </w:p>
        </w:tc>
        <w:tc>
          <w:tcPr>
            <w:tcW w:w="1258" w:type="dxa"/>
            <w:noWrap/>
            <w:hideMark/>
          </w:tcPr>
          <w:p w14:paraId="7D38CC4D" w14:textId="0EE87A72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76273D" w:rsidRPr="00CF2862" w14:paraId="4037F2E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093B3A4B" w14:textId="31ECB4BB" w:rsidR="0076273D" w:rsidRPr="00C63E75" w:rsidRDefault="0076273D" w:rsidP="0049266B">
            <w:pPr>
              <w:tabs>
                <w:tab w:val="center" w:pos="6866"/>
                <w:tab w:val="left" w:pos="12255"/>
              </w:tabs>
              <w:spacing w:line="240" w:lineRule="auto"/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C63E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Farmers</w:t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</w:t>
            </w:r>
            <w:r w:rsidR="00492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 xml:space="preserve">      0.2%</w:t>
            </w:r>
          </w:p>
        </w:tc>
      </w:tr>
      <w:tr w:rsidR="0076273D" w:rsidRPr="00CF2862" w14:paraId="57843BB8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D6EC02B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5CCEFE32" w14:textId="77777777" w:rsidR="0076273D" w:rsidRPr="003E603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E60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4888" w:type="dxa"/>
            <w:noWrap/>
            <w:hideMark/>
          </w:tcPr>
          <w:p w14:paraId="0BFAB66F" w14:textId="77777777" w:rsidR="0076273D" w:rsidRPr="007572B3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Farm Assist</w:t>
            </w:r>
          </w:p>
        </w:tc>
        <w:tc>
          <w:tcPr>
            <w:tcW w:w="1491" w:type="dxa"/>
            <w:noWrap/>
            <w:hideMark/>
          </w:tcPr>
          <w:p w14:paraId="2C3573E0" w14:textId="360194DE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84</w:t>
            </w:r>
          </w:p>
        </w:tc>
        <w:tc>
          <w:tcPr>
            <w:tcW w:w="1258" w:type="dxa"/>
            <w:noWrap/>
            <w:hideMark/>
          </w:tcPr>
          <w:p w14:paraId="19AB3105" w14:textId="26728B35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92.0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02FF763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6F3F6D0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58502B6E" w14:textId="77777777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E60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4888" w:type="dxa"/>
            <w:noWrap/>
            <w:hideMark/>
          </w:tcPr>
          <w:p w14:paraId="169EF8B3" w14:textId="77777777" w:rsidR="0076273D" w:rsidRPr="007572B3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491" w:type="dxa"/>
            <w:noWrap/>
            <w:hideMark/>
          </w:tcPr>
          <w:p w14:paraId="6BB7A76B" w14:textId="531644DB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1258" w:type="dxa"/>
            <w:noWrap/>
            <w:hideMark/>
          </w:tcPr>
          <w:p w14:paraId="7F9E9D24" w14:textId="29CB1AA6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76273D" w:rsidRPr="00CF2862" w14:paraId="5F494ECE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D674432" w14:textId="77777777" w:rsidR="0076273D" w:rsidRPr="00CF2862" w:rsidRDefault="0076273D" w:rsidP="007627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1DB003B1" w14:textId="77777777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048A5966" w14:textId="77777777" w:rsidR="0076273D" w:rsidRPr="00CF2862" w:rsidRDefault="0076273D" w:rsidP="007627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4A944518" w14:textId="130E8185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200</w:t>
            </w:r>
          </w:p>
        </w:tc>
        <w:tc>
          <w:tcPr>
            <w:tcW w:w="1258" w:type="dxa"/>
            <w:noWrap/>
            <w:hideMark/>
          </w:tcPr>
          <w:p w14:paraId="352B758C" w14:textId="77777777" w:rsidR="0076273D" w:rsidRPr="00CF2862" w:rsidRDefault="0076273D" w:rsidP="0076273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76273D" w:rsidRPr="00CF2862" w14:paraId="7E27C88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A61119A" w14:textId="77777777" w:rsidR="0076273D" w:rsidRPr="00CF2862" w:rsidRDefault="0076273D" w:rsidP="0076273D">
            <w:pPr>
              <w:spacing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18ECEF7A" w14:textId="77777777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54ABED71" w14:textId="77777777" w:rsidR="0076273D" w:rsidRPr="00CF2862" w:rsidRDefault="0076273D" w:rsidP="007627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 Total Social Welfare Queries</w:t>
            </w:r>
          </w:p>
        </w:tc>
        <w:tc>
          <w:tcPr>
            <w:tcW w:w="1491" w:type="dxa"/>
            <w:noWrap/>
            <w:hideMark/>
          </w:tcPr>
          <w:p w14:paraId="62C0E4E3" w14:textId="0083FE3C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90,772</w:t>
            </w:r>
          </w:p>
        </w:tc>
        <w:tc>
          <w:tcPr>
            <w:tcW w:w="1258" w:type="dxa"/>
            <w:noWrap/>
            <w:hideMark/>
          </w:tcPr>
          <w:p w14:paraId="1D19B454" w14:textId="77777777" w:rsidR="0076273D" w:rsidRPr="00CF2862" w:rsidRDefault="0076273D" w:rsidP="0076273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100.00%</w:t>
            </w:r>
          </w:p>
        </w:tc>
      </w:tr>
    </w:tbl>
    <w:p w14:paraId="1E27E3EE" w14:textId="77777777" w:rsidR="009C33A2" w:rsidRDefault="009C33A2" w:rsidP="008E017C">
      <w:pPr>
        <w:pStyle w:val="Heading1"/>
        <w:rPr>
          <w:rFonts w:ascii="Calibri" w:hAnsi="Calibri" w:cs="Calibri"/>
          <w:b/>
          <w:color w:val="auto"/>
          <w:sz w:val="22"/>
          <w:szCs w:val="22"/>
          <w:lang w:val="en-US"/>
        </w:rPr>
      </w:pPr>
    </w:p>
    <w:p w14:paraId="273C4411" w14:textId="77777777" w:rsidR="009C33A2" w:rsidRDefault="009C33A2">
      <w:pPr>
        <w:spacing w:line="259" w:lineRule="auto"/>
        <w:rPr>
          <w:rFonts w:ascii="Calibri" w:eastAsiaTheme="majorEastAsia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br w:type="page"/>
      </w:r>
    </w:p>
    <w:p w14:paraId="44CFC758" w14:textId="77777777" w:rsidR="00351D72" w:rsidRDefault="00351D72" w:rsidP="008E017C">
      <w:pPr>
        <w:pStyle w:val="Heading1"/>
        <w:rPr>
          <w:rFonts w:ascii="Calibri" w:hAnsi="Calibri" w:cs="Calibri"/>
          <w:b/>
          <w:sz w:val="24"/>
          <w:szCs w:val="24"/>
        </w:rPr>
        <w:sectPr w:rsidR="00351D72" w:rsidSect="00681F13">
          <w:type w:val="continuous"/>
          <w:pgSz w:w="16838" w:h="11906" w:orient="landscape"/>
          <w:pgMar w:top="1134" w:right="1440" w:bottom="1440" w:left="1440" w:header="709" w:footer="709" w:gutter="0"/>
          <w:cols w:space="708"/>
          <w:docGrid w:linePitch="360"/>
        </w:sectPr>
      </w:pPr>
    </w:p>
    <w:p w14:paraId="65F10D2D" w14:textId="34558212" w:rsidR="004267EC" w:rsidRPr="00086128" w:rsidRDefault="004267EC" w:rsidP="008E017C">
      <w:pPr>
        <w:pStyle w:val="Heading1"/>
        <w:rPr>
          <w:rFonts w:ascii="Calibri" w:hAnsi="Calibri" w:cs="Calibri"/>
          <w:b/>
          <w:sz w:val="24"/>
          <w:szCs w:val="24"/>
        </w:rPr>
      </w:pPr>
      <w:r w:rsidRPr="00086128">
        <w:rPr>
          <w:rFonts w:ascii="Calibri" w:hAnsi="Calibri" w:cs="Calibri"/>
          <w:b/>
          <w:sz w:val="24"/>
          <w:szCs w:val="24"/>
        </w:rPr>
        <w:lastRenderedPageBreak/>
        <w:t>Housing query trends in Q1 202</w:t>
      </w:r>
      <w:r w:rsidR="00AE3F23">
        <w:rPr>
          <w:rFonts w:ascii="Calibri" w:hAnsi="Calibri" w:cs="Calibri"/>
          <w:b/>
          <w:sz w:val="24"/>
          <w:szCs w:val="24"/>
        </w:rPr>
        <w:t>4</w:t>
      </w:r>
      <w:r w:rsidRPr="00086128">
        <w:rPr>
          <w:rFonts w:ascii="Calibri" w:hAnsi="Calibri" w:cs="Calibri"/>
          <w:b/>
          <w:sz w:val="24"/>
          <w:szCs w:val="24"/>
        </w:rPr>
        <w:t>:</w:t>
      </w:r>
      <w:r w:rsidR="00086128">
        <w:rPr>
          <w:rFonts w:ascii="Calibri" w:hAnsi="Calibri" w:cs="Calibri"/>
          <w:b/>
          <w:sz w:val="24"/>
          <w:szCs w:val="24"/>
        </w:rPr>
        <w:br/>
      </w:r>
    </w:p>
    <w:p w14:paraId="1D83BF83" w14:textId="153DE52C" w:rsidR="009C33A2" w:rsidRDefault="00B60276" w:rsidP="00D92861">
      <w:pPr>
        <w:rPr>
          <w:rFonts w:ascii="Calibri" w:hAnsi="Calibri" w:cs="Calibri"/>
          <w:highlight w:val="yellow"/>
          <w:lang w:val="en-US"/>
        </w:rPr>
      </w:pPr>
      <w:r w:rsidRPr="00D92861">
        <w:rPr>
          <w:rFonts w:ascii="Calibri" w:hAnsi="Calibri" w:cs="Calibri"/>
          <w:b/>
          <w:lang w:val="en-US"/>
        </w:rPr>
        <w:t xml:space="preserve">Table </w:t>
      </w:r>
      <w:r w:rsidR="00795A49">
        <w:rPr>
          <w:rFonts w:ascii="Calibri" w:hAnsi="Calibri" w:cs="Calibri"/>
          <w:b/>
          <w:lang w:val="en-US"/>
        </w:rPr>
        <w:t>1</w:t>
      </w:r>
      <w:r w:rsidR="003D0788">
        <w:rPr>
          <w:rFonts w:ascii="Calibri" w:hAnsi="Calibri" w:cs="Calibri"/>
          <w:b/>
          <w:lang w:val="en-US"/>
        </w:rPr>
        <w:t>2</w:t>
      </w:r>
      <w:r w:rsidRPr="00D92861">
        <w:rPr>
          <w:rFonts w:ascii="Calibri" w:hAnsi="Calibri" w:cs="Calibri"/>
          <w:lang w:val="en-US"/>
        </w:rPr>
        <w:t xml:space="preserve"> sets out the </w:t>
      </w:r>
      <w:r w:rsidRPr="00D92861">
        <w:rPr>
          <w:rFonts w:ascii="Calibri" w:hAnsi="Calibri" w:cs="Calibri"/>
          <w:b/>
          <w:lang w:val="en-US"/>
        </w:rPr>
        <w:t>Housing</w:t>
      </w:r>
      <w:r w:rsidRPr="00D92861">
        <w:rPr>
          <w:rFonts w:ascii="Calibri" w:hAnsi="Calibri" w:cs="Calibri"/>
          <w:lang w:val="en-US"/>
        </w:rPr>
        <w:t xml:space="preserve"> query data</w:t>
      </w:r>
      <w:r w:rsidR="00A941B3" w:rsidRPr="00D92861">
        <w:rPr>
          <w:rFonts w:ascii="Calibri" w:hAnsi="Calibri" w:cs="Calibri"/>
          <w:lang w:val="en-US"/>
        </w:rPr>
        <w:t>set</w:t>
      </w:r>
      <w:r w:rsidR="007076F4">
        <w:rPr>
          <w:rFonts w:ascii="Calibri" w:hAnsi="Calibri" w:cs="Calibri"/>
          <w:lang w:val="en-US"/>
        </w:rPr>
        <w:t xml:space="preserve"> (</w:t>
      </w:r>
      <w:r w:rsidR="007076F4" w:rsidRPr="00ED0D5E">
        <w:rPr>
          <w:rFonts w:ascii="Calibri" w:hAnsi="Calibri" w:cs="Calibri"/>
          <w:b/>
          <w:lang w:val="en-US"/>
        </w:rPr>
        <w:t>23,294</w:t>
      </w:r>
      <w:r w:rsidR="007076F4">
        <w:rPr>
          <w:rFonts w:ascii="Calibri" w:hAnsi="Calibri" w:cs="Calibri"/>
          <w:lang w:val="en-US"/>
        </w:rPr>
        <w:t xml:space="preserve"> queries)</w:t>
      </w:r>
      <w:r w:rsidR="00A941B3" w:rsidRPr="00D92861">
        <w:rPr>
          <w:rFonts w:ascii="Calibri" w:hAnsi="Calibri" w:cs="Calibri"/>
          <w:lang w:val="en-US"/>
        </w:rPr>
        <w:t xml:space="preserve"> for Quarter 1</w:t>
      </w:r>
      <w:r w:rsidR="00DE397A" w:rsidRPr="00D92861">
        <w:rPr>
          <w:rFonts w:ascii="Calibri" w:hAnsi="Calibri" w:cs="Calibri"/>
          <w:lang w:val="en-US"/>
        </w:rPr>
        <w:t>, 202</w:t>
      </w:r>
      <w:r w:rsidR="00D92861" w:rsidRPr="00D92861">
        <w:rPr>
          <w:rFonts w:ascii="Calibri" w:hAnsi="Calibri" w:cs="Calibri"/>
          <w:lang w:val="en-US"/>
        </w:rPr>
        <w:t>4</w:t>
      </w:r>
      <w:r w:rsidRPr="00D92861">
        <w:rPr>
          <w:rFonts w:ascii="Calibri" w:hAnsi="Calibri" w:cs="Calibri"/>
          <w:lang w:val="en-US"/>
        </w:rPr>
        <w:t xml:space="preserve">. </w:t>
      </w:r>
      <w:r w:rsidR="008E017C" w:rsidRPr="00D92861">
        <w:rPr>
          <w:rFonts w:ascii="Calibri" w:hAnsi="Calibri" w:cs="Calibri"/>
          <w:lang w:val="en-US"/>
        </w:rPr>
        <w:t>Housing Queries</w:t>
      </w:r>
      <w:r w:rsidR="008E017C" w:rsidRPr="00D92861">
        <w:rPr>
          <w:lang w:val="en-US"/>
        </w:rPr>
        <w:t xml:space="preserve"> </w:t>
      </w:r>
      <w:r w:rsidR="00D92861">
        <w:rPr>
          <w:rFonts w:ascii="Calibri" w:hAnsi="Calibri" w:cs="Calibri"/>
          <w:lang w:val="en-US"/>
        </w:rPr>
        <w:t xml:space="preserve">remained at a similar level to Q1 2023, increasing </w:t>
      </w:r>
      <w:r w:rsidR="007076F4">
        <w:rPr>
          <w:rFonts w:ascii="Calibri" w:hAnsi="Calibri" w:cs="Calibri"/>
          <w:lang w:val="en-US"/>
        </w:rPr>
        <w:t xml:space="preserve">just </w:t>
      </w:r>
      <w:r w:rsidR="00D92861">
        <w:rPr>
          <w:rFonts w:ascii="Calibri" w:hAnsi="Calibri" w:cs="Calibri"/>
          <w:lang w:val="en-US"/>
        </w:rPr>
        <w:t>0.6%.</w:t>
      </w:r>
    </w:p>
    <w:p w14:paraId="0277B9B7" w14:textId="00413D0C" w:rsidR="00D92861" w:rsidRPr="00972FE7" w:rsidRDefault="00673AF1" w:rsidP="00972FE7">
      <w:pPr>
        <w:spacing w:after="0"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u w:val="single"/>
          <w:lang w:val="en-US"/>
        </w:rPr>
        <w:t>Query</w:t>
      </w:r>
      <w:r w:rsidRPr="000377CA">
        <w:rPr>
          <w:rFonts w:ascii="Calibri" w:hAnsi="Calibri" w:cs="Calibri"/>
          <w:bCs/>
          <w:u w:val="single"/>
          <w:lang w:val="en-US"/>
        </w:rPr>
        <w:t xml:space="preserve"> statistics relating to </w:t>
      </w:r>
      <w:r w:rsidR="00A81735" w:rsidRPr="000377CA">
        <w:rPr>
          <w:rFonts w:ascii="Calibri" w:hAnsi="Calibri" w:cs="Calibri"/>
          <w:bCs/>
          <w:u w:val="single"/>
          <w:lang w:val="en-US"/>
        </w:rPr>
        <w:t>Housing.</w:t>
      </w:r>
      <w:r w:rsidR="00972FE7">
        <w:rPr>
          <w:rFonts w:ascii="Calibri" w:hAnsi="Calibri" w:cs="Calibri"/>
          <w:bCs/>
          <w:lang w:val="en-US"/>
        </w:rPr>
        <w:br/>
      </w:r>
    </w:p>
    <w:p w14:paraId="49EB160C" w14:textId="6849C72D" w:rsidR="00D92861" w:rsidRDefault="00D92861" w:rsidP="00D92861">
      <w:pPr>
        <w:rPr>
          <w:rFonts w:ascii="Calibri" w:hAnsi="Calibri" w:cs="Calibri"/>
          <w:lang w:val="en-US"/>
        </w:rPr>
      </w:pPr>
      <w:r w:rsidRPr="00D92861">
        <w:rPr>
          <w:rFonts w:ascii="Calibri" w:hAnsi="Calibri" w:cs="Calibri"/>
          <w:lang w:val="en-US"/>
        </w:rPr>
        <w:t xml:space="preserve">Queries relating to </w:t>
      </w:r>
      <w:r>
        <w:rPr>
          <w:rFonts w:ascii="Calibri" w:hAnsi="Calibri" w:cs="Calibri"/>
          <w:lang w:val="en-US"/>
        </w:rPr>
        <w:t>Local Authority and Social Housing increased by 3%.</w:t>
      </w:r>
    </w:p>
    <w:p w14:paraId="2D2A33A5" w14:textId="6AC46AC6" w:rsidR="00D92861" w:rsidRDefault="00D92861" w:rsidP="00D9286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Applying for local authority and social housing increased by 4.3% (5,782 queries)</w:t>
      </w:r>
    </w:p>
    <w:p w14:paraId="30A7AEE6" w14:textId="565ACA66" w:rsidR="00D92861" w:rsidRDefault="00D92861" w:rsidP="00D9286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Housing Assistance Payments (HAP) </w:t>
      </w:r>
      <w:r w:rsidR="00A81C41">
        <w:rPr>
          <w:rFonts w:ascii="Calibri" w:hAnsi="Calibri" w:cs="Calibri"/>
          <w:lang w:val="en-US"/>
        </w:rPr>
        <w:t xml:space="preserve">dropped </w:t>
      </w:r>
      <w:r>
        <w:rPr>
          <w:rFonts w:ascii="Calibri" w:hAnsi="Calibri" w:cs="Calibri"/>
          <w:lang w:val="en-US"/>
        </w:rPr>
        <w:t>by 10.8% (2,781 queries)</w:t>
      </w:r>
    </w:p>
    <w:p w14:paraId="379FCD9F" w14:textId="31CC7C09" w:rsidR="00D92861" w:rsidRDefault="00D92861" w:rsidP="00D9286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Differential rent queries decreased by 17.4% (403 queries).</w:t>
      </w:r>
    </w:p>
    <w:p w14:paraId="1EF091D7" w14:textId="1AE0928F" w:rsidR="00D92861" w:rsidRDefault="00D92861" w:rsidP="00D92861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Housing Grants and schemes increased by 2.6%</w:t>
      </w:r>
      <w:r w:rsidR="00B86ACB">
        <w:rPr>
          <w:rFonts w:ascii="Calibri" w:hAnsi="Calibri" w:cs="Calibri"/>
          <w:lang w:val="en-US"/>
        </w:rPr>
        <w:t xml:space="preserve"> (3,826)</w:t>
      </w:r>
      <w:r>
        <w:rPr>
          <w:rFonts w:ascii="Calibri" w:hAnsi="Calibri" w:cs="Calibri"/>
          <w:lang w:val="en-US"/>
        </w:rPr>
        <w:t>.</w:t>
      </w:r>
    </w:p>
    <w:p w14:paraId="586F6647" w14:textId="1573AE9B" w:rsidR="00D92861" w:rsidRDefault="00D92861" w:rsidP="00D92861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Renting a Home (Private Rental Accommodation) decreased by 18.1% from 3,633 queries in Q1 2023 to 2,975 queries in Q1 2024.</w:t>
      </w:r>
    </w:p>
    <w:p w14:paraId="42F3DF59" w14:textId="7413917B" w:rsidR="00D92861" w:rsidRDefault="00D92861" w:rsidP="00D9286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Queries in relation to Notices/eviction/ disputes </w:t>
      </w:r>
      <w:r w:rsidR="007076F4">
        <w:rPr>
          <w:rFonts w:ascii="Calibri" w:hAnsi="Calibri" w:cs="Calibri"/>
          <w:lang w:val="en-US"/>
        </w:rPr>
        <w:t xml:space="preserve">were down </w:t>
      </w:r>
      <w:r>
        <w:rPr>
          <w:rFonts w:ascii="Calibri" w:hAnsi="Calibri" w:cs="Calibri"/>
          <w:lang w:val="en-US"/>
        </w:rPr>
        <w:t>by 20.5% (727 queries).</w:t>
      </w:r>
    </w:p>
    <w:p w14:paraId="51DDF803" w14:textId="2CD978BE" w:rsidR="00D92861" w:rsidRDefault="00D92861" w:rsidP="00D9286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Residential Tenancies Board (RTB) </w:t>
      </w:r>
      <w:r w:rsidR="007076F4">
        <w:rPr>
          <w:rFonts w:ascii="Calibri" w:hAnsi="Calibri" w:cs="Calibri"/>
          <w:lang w:val="en-US"/>
        </w:rPr>
        <w:t xml:space="preserve">related </w:t>
      </w:r>
      <w:r>
        <w:rPr>
          <w:rFonts w:ascii="Calibri" w:hAnsi="Calibri" w:cs="Calibri"/>
          <w:lang w:val="en-US"/>
        </w:rPr>
        <w:t>queries decreased by 23.5% (520 queries).</w:t>
      </w:r>
    </w:p>
    <w:p w14:paraId="464DFD08" w14:textId="300A82A1" w:rsidR="00D92861" w:rsidRDefault="00D92861" w:rsidP="00D9286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Tenants</w:t>
      </w:r>
      <w:r w:rsidR="007076F4">
        <w:rPr>
          <w:rFonts w:ascii="Calibri" w:hAnsi="Calibri" w:cs="Calibri"/>
          <w:lang w:val="en-US"/>
        </w:rPr>
        <w:t>’</w:t>
      </w:r>
      <w:r>
        <w:rPr>
          <w:rFonts w:ascii="Calibri" w:hAnsi="Calibri" w:cs="Calibri"/>
          <w:lang w:val="en-US"/>
        </w:rPr>
        <w:t xml:space="preserve"> Rights and Obligations decreased by 12.2% (440 queries).</w:t>
      </w:r>
    </w:p>
    <w:p w14:paraId="64E3004A" w14:textId="5C9150E3" w:rsidR="00D92861" w:rsidRDefault="00D92861" w:rsidP="00D9286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Landlord’s Rights and Obligations fell by 32.5% (337 queries).</w:t>
      </w:r>
    </w:p>
    <w:p w14:paraId="430768E0" w14:textId="58CD1179" w:rsidR="00D92861" w:rsidRDefault="00D92861" w:rsidP="00D92861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Home energy grants increased by 19%</w:t>
      </w:r>
      <w:r w:rsidR="000377CA">
        <w:rPr>
          <w:rFonts w:ascii="Calibri" w:hAnsi="Calibri" w:cs="Calibri"/>
          <w:lang w:val="en-US"/>
        </w:rPr>
        <w:t xml:space="preserve"> (1,825 queries).</w:t>
      </w:r>
    </w:p>
    <w:p w14:paraId="5FF2811A" w14:textId="04B51E10" w:rsidR="000377CA" w:rsidRDefault="000377CA" w:rsidP="00D92861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Queries in relation to Homelessness increased by 13.4% (938 queries).</w:t>
      </w:r>
    </w:p>
    <w:p w14:paraId="6255D40B" w14:textId="4A15D7CD" w:rsidR="00D9081B" w:rsidRDefault="00D9081B" w:rsidP="00B561A4">
      <w:pPr>
        <w:spacing w:after="0" w:line="240" w:lineRule="auto"/>
        <w:rPr>
          <w:rFonts w:ascii="Calibri" w:hAnsi="Calibri" w:cs="Calibri"/>
          <w:bCs/>
          <w:lang w:val="en-US"/>
        </w:rPr>
      </w:pPr>
      <w:r w:rsidRPr="000377CA">
        <w:rPr>
          <w:rFonts w:ascii="Calibri" w:hAnsi="Calibri" w:cs="Calibri"/>
          <w:bCs/>
          <w:u w:val="single"/>
          <w:lang w:val="en-US"/>
        </w:rPr>
        <w:t xml:space="preserve">Caller </w:t>
      </w:r>
      <w:r w:rsidR="00D55652" w:rsidRPr="000377CA">
        <w:rPr>
          <w:rFonts w:ascii="Calibri" w:hAnsi="Calibri" w:cs="Calibri"/>
          <w:bCs/>
          <w:u w:val="single"/>
          <w:lang w:val="en-US"/>
        </w:rPr>
        <w:t xml:space="preserve">profile </w:t>
      </w:r>
      <w:r w:rsidRPr="000377CA">
        <w:rPr>
          <w:rFonts w:ascii="Calibri" w:hAnsi="Calibri" w:cs="Calibri"/>
          <w:bCs/>
          <w:u w:val="single"/>
          <w:lang w:val="en-US"/>
        </w:rPr>
        <w:t>statistics relating to Housing</w:t>
      </w:r>
      <w:r w:rsidRPr="000377CA">
        <w:rPr>
          <w:rFonts w:ascii="Calibri" w:hAnsi="Calibri" w:cs="Calibri"/>
          <w:bCs/>
          <w:lang w:val="en-US"/>
        </w:rPr>
        <w:t>.</w:t>
      </w:r>
      <w:r w:rsidR="00B86ACB">
        <w:rPr>
          <w:rFonts w:ascii="Calibri" w:hAnsi="Calibri" w:cs="Calibri"/>
          <w:bCs/>
          <w:lang w:val="en-US"/>
        </w:rPr>
        <w:br/>
      </w:r>
    </w:p>
    <w:p w14:paraId="4E8CAE1C" w14:textId="40410AF0" w:rsidR="000377CA" w:rsidRDefault="000377CA" w:rsidP="00972F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41.9% of </w:t>
      </w:r>
      <w:r w:rsidR="00A81735">
        <w:rPr>
          <w:rFonts w:ascii="Calibri" w:hAnsi="Calibri" w:cs="Calibri"/>
          <w:bCs/>
          <w:lang w:val="en-US"/>
        </w:rPr>
        <w:t xml:space="preserve">callers </w:t>
      </w:r>
      <w:r w:rsidR="00884628">
        <w:rPr>
          <w:rFonts w:ascii="Calibri" w:hAnsi="Calibri" w:cs="Calibri"/>
          <w:bCs/>
          <w:lang w:val="en-US"/>
        </w:rPr>
        <w:t>who contacted CISs about</w:t>
      </w:r>
      <w:r>
        <w:rPr>
          <w:rFonts w:ascii="Calibri" w:hAnsi="Calibri" w:cs="Calibri"/>
          <w:bCs/>
          <w:lang w:val="en-US"/>
        </w:rPr>
        <w:t xml:space="preserve"> Housing came from the 26-45 age group, followed by 33.8% from the 46-65.</w:t>
      </w:r>
    </w:p>
    <w:p w14:paraId="2AD74DD6" w14:textId="2EA4CB3C" w:rsidR="000377CA" w:rsidRDefault="000377CA" w:rsidP="00972F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53% of call</w:t>
      </w:r>
      <w:r w:rsidR="00A81735">
        <w:rPr>
          <w:rFonts w:ascii="Calibri" w:hAnsi="Calibri" w:cs="Calibri"/>
          <w:bCs/>
          <w:lang w:val="en-US"/>
        </w:rPr>
        <w:t>er</w:t>
      </w:r>
      <w:r>
        <w:rPr>
          <w:rFonts w:ascii="Calibri" w:hAnsi="Calibri" w:cs="Calibri"/>
          <w:bCs/>
          <w:lang w:val="en-US"/>
        </w:rPr>
        <w:t xml:space="preserve">s relating to Local </w:t>
      </w:r>
      <w:r w:rsidR="007076F4">
        <w:rPr>
          <w:rFonts w:ascii="Calibri" w:hAnsi="Calibri" w:cs="Calibri"/>
          <w:bCs/>
          <w:lang w:val="en-US"/>
        </w:rPr>
        <w:t>A</w:t>
      </w:r>
      <w:r>
        <w:rPr>
          <w:rFonts w:ascii="Calibri" w:hAnsi="Calibri" w:cs="Calibri"/>
          <w:bCs/>
          <w:lang w:val="en-US"/>
        </w:rPr>
        <w:t>uthority and social housing came from the 26-45 cohort.</w:t>
      </w:r>
    </w:p>
    <w:p w14:paraId="53B7EAF4" w14:textId="25A4E35A" w:rsidR="000377CA" w:rsidRDefault="000377CA" w:rsidP="00972F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55</w:t>
      </w:r>
      <w:r w:rsidR="00884628">
        <w:rPr>
          <w:rFonts w:ascii="Calibri" w:hAnsi="Calibri" w:cs="Calibri"/>
          <w:bCs/>
          <w:lang w:val="en-US"/>
        </w:rPr>
        <w:t xml:space="preserve">% </w:t>
      </w:r>
      <w:r>
        <w:rPr>
          <w:rFonts w:ascii="Calibri" w:hAnsi="Calibri" w:cs="Calibri"/>
          <w:bCs/>
          <w:lang w:val="en-US"/>
        </w:rPr>
        <w:t>of call</w:t>
      </w:r>
      <w:r w:rsidR="00A81735">
        <w:rPr>
          <w:rFonts w:ascii="Calibri" w:hAnsi="Calibri" w:cs="Calibri"/>
          <w:bCs/>
          <w:lang w:val="en-US"/>
        </w:rPr>
        <w:t>er</w:t>
      </w:r>
      <w:r>
        <w:rPr>
          <w:rFonts w:ascii="Calibri" w:hAnsi="Calibri" w:cs="Calibri"/>
          <w:bCs/>
          <w:lang w:val="en-US"/>
        </w:rPr>
        <w:t xml:space="preserve">s about </w:t>
      </w:r>
      <w:r w:rsidR="007076F4">
        <w:rPr>
          <w:rFonts w:ascii="Calibri" w:hAnsi="Calibri" w:cs="Calibri"/>
          <w:bCs/>
          <w:lang w:val="en-US"/>
        </w:rPr>
        <w:t>h</w:t>
      </w:r>
      <w:r>
        <w:rPr>
          <w:rFonts w:ascii="Calibri" w:hAnsi="Calibri" w:cs="Calibri"/>
          <w:bCs/>
          <w:lang w:val="en-US"/>
        </w:rPr>
        <w:t>ousing grants and schemes originated from the 66 and Over age cohort</w:t>
      </w:r>
      <w:r w:rsidR="00673AF1">
        <w:rPr>
          <w:rFonts w:ascii="Calibri" w:hAnsi="Calibri" w:cs="Calibri"/>
          <w:bCs/>
          <w:lang w:val="en-US"/>
        </w:rPr>
        <w:t>.</w:t>
      </w:r>
      <w:r>
        <w:rPr>
          <w:rFonts w:ascii="Calibri" w:hAnsi="Calibri" w:cs="Calibri"/>
          <w:bCs/>
          <w:lang w:val="en-US"/>
        </w:rPr>
        <w:t xml:space="preserve"> and 56.6% of call</w:t>
      </w:r>
      <w:r w:rsidR="00A81735">
        <w:rPr>
          <w:rFonts w:ascii="Calibri" w:hAnsi="Calibri" w:cs="Calibri"/>
          <w:bCs/>
          <w:lang w:val="en-US"/>
        </w:rPr>
        <w:t>er</w:t>
      </w:r>
      <w:r>
        <w:rPr>
          <w:rFonts w:ascii="Calibri" w:hAnsi="Calibri" w:cs="Calibri"/>
          <w:bCs/>
          <w:lang w:val="en-US"/>
        </w:rPr>
        <w:t>s relating to home energy grants came from the same group.</w:t>
      </w:r>
    </w:p>
    <w:p w14:paraId="29EB6AE0" w14:textId="169236AE" w:rsidR="000377CA" w:rsidRDefault="000377CA" w:rsidP="00972F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Nearly 50% o</w:t>
      </w:r>
      <w:r w:rsidR="007076F4">
        <w:rPr>
          <w:rFonts w:ascii="Calibri" w:hAnsi="Calibri" w:cs="Calibri"/>
          <w:bCs/>
          <w:lang w:val="en-US"/>
        </w:rPr>
        <w:t>f</w:t>
      </w:r>
      <w:r>
        <w:rPr>
          <w:rFonts w:ascii="Calibri" w:hAnsi="Calibri" w:cs="Calibri"/>
          <w:bCs/>
          <w:lang w:val="en-US"/>
        </w:rPr>
        <w:t xml:space="preserve"> call</w:t>
      </w:r>
      <w:r w:rsidR="00A81735">
        <w:rPr>
          <w:rFonts w:ascii="Calibri" w:hAnsi="Calibri" w:cs="Calibri"/>
          <w:bCs/>
          <w:lang w:val="en-US"/>
        </w:rPr>
        <w:t>er</w:t>
      </w:r>
      <w:r>
        <w:rPr>
          <w:rFonts w:ascii="Calibri" w:hAnsi="Calibri" w:cs="Calibri"/>
          <w:bCs/>
          <w:lang w:val="en-US"/>
        </w:rPr>
        <w:t xml:space="preserve">s </w:t>
      </w:r>
      <w:r w:rsidR="00884628">
        <w:rPr>
          <w:rFonts w:ascii="Calibri" w:hAnsi="Calibri" w:cs="Calibri"/>
          <w:bCs/>
          <w:lang w:val="en-US"/>
        </w:rPr>
        <w:t>about</w:t>
      </w:r>
      <w:r>
        <w:rPr>
          <w:rFonts w:ascii="Calibri" w:hAnsi="Calibri" w:cs="Calibri"/>
          <w:bCs/>
          <w:lang w:val="en-US"/>
        </w:rPr>
        <w:t xml:space="preserve"> Renting a Home (Private Rental Accommodation) came from the 26-45 age group.</w:t>
      </w:r>
    </w:p>
    <w:p w14:paraId="717F34F7" w14:textId="4E90DB5A" w:rsidR="00673AF1" w:rsidRDefault="00673AF1" w:rsidP="00972F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54.4% of all call</w:t>
      </w:r>
      <w:r w:rsidR="00A81735">
        <w:rPr>
          <w:rFonts w:ascii="Calibri" w:hAnsi="Calibri" w:cs="Calibri"/>
          <w:bCs/>
          <w:lang w:val="en-US"/>
        </w:rPr>
        <w:t>er</w:t>
      </w:r>
      <w:r>
        <w:rPr>
          <w:rFonts w:ascii="Calibri" w:hAnsi="Calibri" w:cs="Calibri"/>
          <w:bCs/>
          <w:lang w:val="en-US"/>
        </w:rPr>
        <w:t>s related to Homelessness came from the 26-45 age group,</w:t>
      </w:r>
    </w:p>
    <w:p w14:paraId="7A1BE815" w14:textId="6140BD31" w:rsidR="00795A49" w:rsidRPr="000377CA" w:rsidRDefault="00795A49" w:rsidP="00972F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42.5% of call</w:t>
      </w:r>
      <w:r w:rsidR="00A81735">
        <w:rPr>
          <w:rFonts w:ascii="Calibri" w:hAnsi="Calibri" w:cs="Calibri"/>
          <w:bCs/>
          <w:lang w:val="en-US"/>
        </w:rPr>
        <w:t>er</w:t>
      </w:r>
      <w:r>
        <w:rPr>
          <w:rFonts w:ascii="Calibri" w:hAnsi="Calibri" w:cs="Calibri"/>
          <w:bCs/>
          <w:lang w:val="en-US"/>
        </w:rPr>
        <w:t>s relating to Housing lasted 11-20 minutes.</w:t>
      </w:r>
    </w:p>
    <w:p w14:paraId="1A00108B" w14:textId="77777777" w:rsidR="00351D72" w:rsidRDefault="00351D72" w:rsidP="00972FE7">
      <w:pPr>
        <w:spacing w:line="259" w:lineRule="auto"/>
        <w:jc w:val="both"/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3E2481C" w14:textId="77777777" w:rsidR="00351D72" w:rsidRDefault="00351D72" w:rsidP="00E4492D">
      <w:pPr>
        <w:pStyle w:val="Heading1"/>
        <w:rPr>
          <w:b/>
          <w:sz w:val="24"/>
          <w:szCs w:val="24"/>
        </w:rPr>
        <w:sectPr w:rsidR="00351D72" w:rsidSect="00681F13">
          <w:pgSz w:w="11906" w:h="16838"/>
          <w:pgMar w:top="1440" w:right="1440" w:bottom="1440" w:left="1134" w:header="709" w:footer="709" w:gutter="0"/>
          <w:cols w:space="708"/>
          <w:docGrid w:linePitch="360"/>
        </w:sectPr>
      </w:pPr>
    </w:p>
    <w:p w14:paraId="7C1B95FC" w14:textId="0A1A5EF7" w:rsidR="00F14F7A" w:rsidRDefault="00B60276" w:rsidP="00E4492D">
      <w:pPr>
        <w:pStyle w:val="Heading1"/>
        <w:rPr>
          <w:b/>
          <w:sz w:val="24"/>
          <w:szCs w:val="24"/>
        </w:rPr>
      </w:pPr>
      <w:r w:rsidRPr="00B12326">
        <w:rPr>
          <w:b/>
          <w:sz w:val="24"/>
          <w:szCs w:val="24"/>
        </w:rPr>
        <w:lastRenderedPageBreak/>
        <w:t xml:space="preserve">Table </w:t>
      </w:r>
      <w:r w:rsidR="00795A49">
        <w:rPr>
          <w:b/>
          <w:sz w:val="24"/>
          <w:szCs w:val="24"/>
        </w:rPr>
        <w:t>1</w:t>
      </w:r>
      <w:r w:rsidR="003D0788">
        <w:rPr>
          <w:b/>
          <w:sz w:val="24"/>
          <w:szCs w:val="24"/>
        </w:rPr>
        <w:t>2</w:t>
      </w:r>
      <w:r w:rsidRPr="00B12326">
        <w:rPr>
          <w:b/>
          <w:sz w:val="24"/>
          <w:szCs w:val="24"/>
        </w:rPr>
        <w:t xml:space="preserve"> – Housing Quer</w:t>
      </w:r>
      <w:r w:rsidR="00115404">
        <w:rPr>
          <w:b/>
          <w:sz w:val="24"/>
          <w:szCs w:val="24"/>
        </w:rPr>
        <w:t>ies</w:t>
      </w:r>
      <w:r w:rsidRPr="00B12326">
        <w:rPr>
          <w:b/>
          <w:sz w:val="24"/>
          <w:szCs w:val="24"/>
        </w:rPr>
        <w:t xml:space="preserve"> Breakdown</w:t>
      </w:r>
      <w:r w:rsidR="00475106" w:rsidRPr="00B12326">
        <w:rPr>
          <w:b/>
          <w:sz w:val="24"/>
          <w:szCs w:val="24"/>
        </w:rPr>
        <w:t>, Q1</w:t>
      </w:r>
      <w:r w:rsidR="00AD338F" w:rsidRPr="00B12326">
        <w:rPr>
          <w:b/>
          <w:sz w:val="24"/>
          <w:szCs w:val="24"/>
        </w:rPr>
        <w:t xml:space="preserve"> 202</w:t>
      </w:r>
      <w:r w:rsidR="004D7EC2">
        <w:rPr>
          <w:b/>
          <w:sz w:val="24"/>
          <w:szCs w:val="24"/>
        </w:rPr>
        <w:t>4</w:t>
      </w:r>
    </w:p>
    <w:tbl>
      <w:tblPr>
        <w:tblStyle w:val="GridTable5Dark-Accent6"/>
        <w:tblW w:w="13514" w:type="dxa"/>
        <w:tblLook w:val="04A0" w:firstRow="1" w:lastRow="0" w:firstColumn="1" w:lastColumn="0" w:noHBand="0" w:noVBand="1"/>
      </w:tblPr>
      <w:tblGrid>
        <w:gridCol w:w="1275"/>
        <w:gridCol w:w="4395"/>
        <w:gridCol w:w="5382"/>
        <w:gridCol w:w="1143"/>
        <w:gridCol w:w="1319"/>
      </w:tblGrid>
      <w:tr w:rsidR="000F1F54" w:rsidRPr="000F1F54" w14:paraId="3AE563E6" w14:textId="77777777" w:rsidTr="002E3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hideMark/>
          </w:tcPr>
          <w:p w14:paraId="14DB2BF8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4395" w:type="dxa"/>
            <w:hideMark/>
          </w:tcPr>
          <w:p w14:paraId="37329898" w14:textId="77777777" w:rsidR="000F1F54" w:rsidRPr="000F1F54" w:rsidRDefault="000F1F54" w:rsidP="000F1F5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5382" w:type="dxa"/>
            <w:hideMark/>
          </w:tcPr>
          <w:p w14:paraId="2B14CE58" w14:textId="31251EEA" w:rsidR="000F1F54" w:rsidRPr="000F1F54" w:rsidRDefault="000F1F54" w:rsidP="000F1F5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Q1, 202</w:t>
            </w:r>
            <w:r w:rsidR="004D7E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4</w:t>
            </w:r>
            <w:r w:rsidRPr="000F1F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1143" w:type="dxa"/>
            <w:hideMark/>
          </w:tcPr>
          <w:p w14:paraId="583CD89D" w14:textId="77777777" w:rsidR="000F1F54" w:rsidRPr="000F1F54" w:rsidRDefault="000F1F54" w:rsidP="000F1F5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1319" w:type="dxa"/>
            <w:hideMark/>
          </w:tcPr>
          <w:p w14:paraId="314EE64A" w14:textId="77777777" w:rsidR="000F1F54" w:rsidRPr="000F1F54" w:rsidRDefault="000F1F54" w:rsidP="000F1F5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lang w:eastAsia="en-IE"/>
              </w:rPr>
              <w:t>% of Housing Sub-category</w:t>
            </w:r>
          </w:p>
        </w:tc>
      </w:tr>
      <w:tr w:rsidR="000F1F54" w:rsidRPr="000F1F54" w14:paraId="75228C44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0D363F2E" w14:textId="6C795BA1" w:rsidR="000F1F54" w:rsidRPr="000F1F54" w:rsidRDefault="009F685D" w:rsidP="00FE5664">
            <w:pPr>
              <w:tabs>
                <w:tab w:val="center" w:pos="6649"/>
                <w:tab w:val="left" w:pos="12405"/>
                <w:tab w:val="left" w:pos="12480"/>
                <w:tab w:val="left" w:pos="12825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Local Authority and Social Housing</w:t>
            </w:r>
            <w:r w:rsidR="00A817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FE56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A817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49.8%</w:t>
            </w:r>
            <w:r w:rsidR="00A817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0F1F54" w:rsidRPr="000F1F54" w14:paraId="0BF4E1E4" w14:textId="77777777" w:rsidTr="002E38D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96C149F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526004C8" w14:textId="77777777" w:rsidR="000F1F54" w:rsidRPr="00884628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48A45182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Applying for Local Authority/Social Housing</w:t>
            </w:r>
          </w:p>
        </w:tc>
        <w:tc>
          <w:tcPr>
            <w:tcW w:w="1143" w:type="dxa"/>
            <w:noWrap/>
            <w:hideMark/>
          </w:tcPr>
          <w:p w14:paraId="62D7D4CC" w14:textId="7F08DFD2" w:rsidR="000F1F54" w:rsidRPr="000F1F54" w:rsidRDefault="00D45FE9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5,</w:t>
            </w:r>
            <w:r w:rsidR="004D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782</w:t>
            </w:r>
          </w:p>
        </w:tc>
        <w:tc>
          <w:tcPr>
            <w:tcW w:w="1319" w:type="dxa"/>
            <w:noWrap/>
            <w:hideMark/>
          </w:tcPr>
          <w:p w14:paraId="0D0B7785" w14:textId="24F61BE4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="00D45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9.</w:t>
            </w:r>
            <w:r w:rsidR="004D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751B9292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C8AA0A0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7D40E7D2" w14:textId="77777777" w:rsidR="000F1F54" w:rsidRPr="00884628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3E0A715B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Housing Assistance Payment (HAP)</w:t>
            </w:r>
          </w:p>
        </w:tc>
        <w:tc>
          <w:tcPr>
            <w:tcW w:w="1143" w:type="dxa"/>
            <w:noWrap/>
            <w:hideMark/>
          </w:tcPr>
          <w:p w14:paraId="31AB7285" w14:textId="05F9D9DD" w:rsidR="000F1F54" w:rsidRPr="000F1F54" w:rsidRDefault="004D7EC2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2,781</w:t>
            </w:r>
          </w:p>
        </w:tc>
        <w:tc>
          <w:tcPr>
            <w:tcW w:w="1319" w:type="dxa"/>
            <w:noWrap/>
            <w:hideMark/>
          </w:tcPr>
          <w:p w14:paraId="19553694" w14:textId="0B6616E3" w:rsidR="000F1F54" w:rsidRPr="000F1F54" w:rsidRDefault="00D45FE9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4D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4.0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01047D28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3DD2DDD4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5D94F258" w14:textId="77777777" w:rsidR="000F1F54" w:rsidRPr="00884628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3621FC20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143" w:type="dxa"/>
            <w:noWrap/>
            <w:hideMark/>
          </w:tcPr>
          <w:p w14:paraId="50D22F84" w14:textId="638A29FC" w:rsidR="000F1F54" w:rsidRPr="000F1F54" w:rsidRDefault="004D7EC2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801</w:t>
            </w:r>
          </w:p>
        </w:tc>
        <w:tc>
          <w:tcPr>
            <w:tcW w:w="1319" w:type="dxa"/>
            <w:noWrap/>
            <w:hideMark/>
          </w:tcPr>
          <w:p w14:paraId="2A75B744" w14:textId="7FB33D71" w:rsidR="000F1F54" w:rsidRPr="000F1F54" w:rsidRDefault="004D7EC2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6.9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782A089B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44205A8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13DFB243" w14:textId="77777777" w:rsidR="000F1F54" w:rsidRPr="00884628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07C6641C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Differential Rent</w:t>
            </w:r>
          </w:p>
        </w:tc>
        <w:tc>
          <w:tcPr>
            <w:tcW w:w="1143" w:type="dxa"/>
            <w:noWrap/>
            <w:hideMark/>
          </w:tcPr>
          <w:p w14:paraId="60FB44FF" w14:textId="475403F6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="004D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03</w:t>
            </w:r>
          </w:p>
        </w:tc>
        <w:tc>
          <w:tcPr>
            <w:tcW w:w="1319" w:type="dxa"/>
            <w:noWrap/>
            <w:hideMark/>
          </w:tcPr>
          <w:p w14:paraId="2292E363" w14:textId="62F413A4" w:rsidR="000F1F54" w:rsidRPr="000F1F54" w:rsidRDefault="004D7EC2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3.5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D7EC2" w:rsidRPr="000F1F54" w14:paraId="121B141F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9269D94" w14:textId="50A095DF" w:rsidR="004D7EC2" w:rsidRPr="000F1F54" w:rsidRDefault="004D7EC2" w:rsidP="004D7E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4977F2EF" w14:textId="3BA26D45" w:rsidR="004D7EC2" w:rsidRPr="00884628" w:rsidRDefault="004D7EC2" w:rsidP="004D7E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19AF8F32" w14:textId="6146C110" w:rsidR="004D7EC2" w:rsidRPr="007572B3" w:rsidRDefault="004D7EC2" w:rsidP="004D7E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Medical Priority</w:t>
            </w:r>
          </w:p>
        </w:tc>
        <w:tc>
          <w:tcPr>
            <w:tcW w:w="1143" w:type="dxa"/>
            <w:noWrap/>
          </w:tcPr>
          <w:p w14:paraId="7F1538DE" w14:textId="2D27D618" w:rsidR="004D7EC2" w:rsidRPr="000F1F54" w:rsidRDefault="004D7EC2" w:rsidP="004D7EC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254</w:t>
            </w:r>
          </w:p>
        </w:tc>
        <w:tc>
          <w:tcPr>
            <w:tcW w:w="1319" w:type="dxa"/>
            <w:noWrap/>
          </w:tcPr>
          <w:p w14:paraId="6C339654" w14:textId="331DA1D1" w:rsidR="004D7EC2" w:rsidRDefault="004D7EC2" w:rsidP="004D7EC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2.2%</w:t>
            </w:r>
          </w:p>
        </w:tc>
      </w:tr>
      <w:tr w:rsidR="000F1F54" w:rsidRPr="000F1F54" w14:paraId="40C0DBB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7F99129F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2E6C68C1" w14:textId="77777777" w:rsidR="000F1F54" w:rsidRPr="00884628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0FFB8BDC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LA Transfers</w:t>
            </w:r>
          </w:p>
        </w:tc>
        <w:tc>
          <w:tcPr>
            <w:tcW w:w="1143" w:type="dxa"/>
            <w:noWrap/>
            <w:hideMark/>
          </w:tcPr>
          <w:p w14:paraId="40311EEF" w14:textId="1A972291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4D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47</w:t>
            </w:r>
          </w:p>
        </w:tc>
        <w:tc>
          <w:tcPr>
            <w:tcW w:w="1319" w:type="dxa"/>
            <w:noWrap/>
            <w:hideMark/>
          </w:tcPr>
          <w:p w14:paraId="377C9084" w14:textId="09073715" w:rsidR="000F1F54" w:rsidRPr="000F1F54" w:rsidRDefault="004D7EC2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2.1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50AD2781" w14:textId="77777777" w:rsidTr="002E38D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1B8D092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6A263E83" w14:textId="77777777" w:rsidR="000F1F54" w:rsidRPr="00884628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583920BF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1143" w:type="dxa"/>
            <w:noWrap/>
            <w:hideMark/>
          </w:tcPr>
          <w:p w14:paraId="22AA3494" w14:textId="0B982147" w:rsidR="000F1F54" w:rsidRPr="000F1F54" w:rsidRDefault="004D7EC2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220</w:t>
            </w:r>
          </w:p>
        </w:tc>
        <w:tc>
          <w:tcPr>
            <w:tcW w:w="1319" w:type="dxa"/>
            <w:noWrap/>
            <w:hideMark/>
          </w:tcPr>
          <w:p w14:paraId="76AFC889" w14:textId="761F0C25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4D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D7EC2" w:rsidRPr="000F1F54" w14:paraId="3249832C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C18FC1F" w14:textId="14C00E25" w:rsidR="004D7EC2" w:rsidRPr="000F1F54" w:rsidRDefault="004D7EC2" w:rsidP="004D7EC2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258D01D0" w14:textId="26EB69F9" w:rsidR="004D7EC2" w:rsidRPr="00884628" w:rsidRDefault="004D7EC2" w:rsidP="004D7E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2D8B4628" w14:textId="78873AAC" w:rsidR="004D7EC2" w:rsidRPr="007572B3" w:rsidRDefault="004D7EC2" w:rsidP="004D7E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Approved Housing Bodies</w:t>
            </w:r>
          </w:p>
        </w:tc>
        <w:tc>
          <w:tcPr>
            <w:tcW w:w="1143" w:type="dxa"/>
            <w:noWrap/>
          </w:tcPr>
          <w:p w14:paraId="530F2BD8" w14:textId="2194F99E" w:rsidR="004D7EC2" w:rsidRPr="000F1F54" w:rsidRDefault="004D7EC2" w:rsidP="004D7EC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199</w:t>
            </w:r>
          </w:p>
        </w:tc>
        <w:tc>
          <w:tcPr>
            <w:tcW w:w="1319" w:type="dxa"/>
            <w:noWrap/>
          </w:tcPr>
          <w:p w14:paraId="0811E9F8" w14:textId="0B91EE79" w:rsidR="004D7EC2" w:rsidRPr="000F1F54" w:rsidRDefault="004D7EC2" w:rsidP="004D7EC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1.7%</w:t>
            </w:r>
          </w:p>
        </w:tc>
      </w:tr>
      <w:tr w:rsidR="004D7EC2" w:rsidRPr="000F1F54" w14:paraId="09387C79" w14:textId="77777777" w:rsidTr="002E38D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A2AD6CF" w14:textId="0B89AA1C" w:rsidR="004D7EC2" w:rsidRPr="000F1F54" w:rsidRDefault="004D7EC2" w:rsidP="004D7E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687FA068" w14:textId="3B4F99A3" w:rsidR="004D7EC2" w:rsidRPr="00884628" w:rsidRDefault="004D7EC2" w:rsidP="004D7E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0339B47D" w14:textId="77C5D528" w:rsidR="004D7EC2" w:rsidRDefault="004D7EC2" w:rsidP="004D7E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Choice Based Lettings</w:t>
            </w:r>
          </w:p>
        </w:tc>
        <w:tc>
          <w:tcPr>
            <w:tcW w:w="1143" w:type="dxa"/>
            <w:noWrap/>
          </w:tcPr>
          <w:p w14:paraId="57CDD8CE" w14:textId="714FD657" w:rsidR="004D7EC2" w:rsidRDefault="004D7EC2" w:rsidP="004D7EC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169</w:t>
            </w:r>
          </w:p>
        </w:tc>
        <w:tc>
          <w:tcPr>
            <w:tcW w:w="1319" w:type="dxa"/>
            <w:noWrap/>
          </w:tcPr>
          <w:p w14:paraId="0F0335ED" w14:textId="6331271E" w:rsidR="004D7EC2" w:rsidRDefault="004D7EC2" w:rsidP="004D7EC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1.5%</w:t>
            </w:r>
          </w:p>
        </w:tc>
      </w:tr>
      <w:tr w:rsidR="004D7EC2" w:rsidRPr="000F1F54" w14:paraId="029EB7A4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744D7DD1" w14:textId="0F6E7421" w:rsidR="004D7EC2" w:rsidRPr="000F1F54" w:rsidRDefault="004D7EC2" w:rsidP="004D7E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5BE0B223" w14:textId="1B69C9B1" w:rsidR="004D7EC2" w:rsidRPr="00884628" w:rsidRDefault="004D7EC2" w:rsidP="004D7E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561EC241" w14:textId="5A6BCA3B" w:rsidR="004D7EC2" w:rsidRPr="007572B3" w:rsidRDefault="004D7EC2" w:rsidP="004D7E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Social Housing Waiting Lists</w:t>
            </w:r>
          </w:p>
        </w:tc>
        <w:tc>
          <w:tcPr>
            <w:tcW w:w="1143" w:type="dxa"/>
            <w:noWrap/>
          </w:tcPr>
          <w:p w14:paraId="750F13C6" w14:textId="2F9D1389" w:rsidR="004D7EC2" w:rsidRDefault="004D7EC2" w:rsidP="004D7EC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149</w:t>
            </w:r>
          </w:p>
        </w:tc>
        <w:tc>
          <w:tcPr>
            <w:tcW w:w="1319" w:type="dxa"/>
            <w:noWrap/>
          </w:tcPr>
          <w:p w14:paraId="5E767CCD" w14:textId="6A7873EF" w:rsidR="004D7EC2" w:rsidRDefault="004D7EC2" w:rsidP="004D7EC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1.3%</w:t>
            </w:r>
          </w:p>
        </w:tc>
      </w:tr>
      <w:tr w:rsidR="00F12712" w:rsidRPr="000F1F54" w14:paraId="35F57CEE" w14:textId="77777777" w:rsidTr="002E38D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50FA070" w14:textId="61737789" w:rsidR="00F12712" w:rsidRPr="000F1F54" w:rsidRDefault="00F12712" w:rsidP="00F127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338AC3CD" w14:textId="25BDB2DD" w:rsidR="00F12712" w:rsidRPr="00884628" w:rsidRDefault="00F12712" w:rsidP="00F12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6D866484" w14:textId="2AB4D9F1" w:rsidR="00F12712" w:rsidRDefault="00F12712" w:rsidP="00F12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Tenant in situ (HAP/RAS)</w:t>
            </w:r>
          </w:p>
        </w:tc>
        <w:tc>
          <w:tcPr>
            <w:tcW w:w="1143" w:type="dxa"/>
            <w:noWrap/>
          </w:tcPr>
          <w:p w14:paraId="57CAFC03" w14:textId="2918AE2F" w:rsidR="00F12712" w:rsidRDefault="00F12712" w:rsidP="00F1271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132</w:t>
            </w:r>
          </w:p>
        </w:tc>
        <w:tc>
          <w:tcPr>
            <w:tcW w:w="1319" w:type="dxa"/>
            <w:noWrap/>
          </w:tcPr>
          <w:p w14:paraId="2132D3D6" w14:textId="05D71636" w:rsidR="00F12712" w:rsidRDefault="00F12712" w:rsidP="00F1271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1.1%</w:t>
            </w:r>
          </w:p>
        </w:tc>
      </w:tr>
      <w:tr w:rsidR="00F12712" w:rsidRPr="000F1F54" w14:paraId="18F9BE3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79EB7A5A" w14:textId="5C24D973" w:rsidR="00F12712" w:rsidRPr="000F1F54" w:rsidRDefault="00F12712" w:rsidP="00F127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59C1D14B" w14:textId="0CB6F5A2" w:rsidR="00F12712" w:rsidRPr="00884628" w:rsidRDefault="00F12712" w:rsidP="00F127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7B871B29" w14:textId="61FA0E0F" w:rsidR="00F12712" w:rsidRDefault="00F12712" w:rsidP="00F127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1143" w:type="dxa"/>
            <w:noWrap/>
          </w:tcPr>
          <w:p w14:paraId="0929E9D6" w14:textId="37A462CD" w:rsidR="00F12712" w:rsidRDefault="00F12712" w:rsidP="00F1271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1319" w:type="dxa"/>
            <w:noWrap/>
          </w:tcPr>
          <w:p w14:paraId="27FC66A0" w14:textId="2A174E7F" w:rsidR="00F12712" w:rsidRDefault="00F12712" w:rsidP="00F1271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1.1%</w:t>
            </w:r>
          </w:p>
        </w:tc>
      </w:tr>
      <w:tr w:rsidR="00F12712" w:rsidRPr="000F1F54" w14:paraId="13D1A655" w14:textId="77777777" w:rsidTr="002E38D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FEE9DA7" w14:textId="5BCD66E3" w:rsidR="00F12712" w:rsidRPr="000F1F54" w:rsidRDefault="00F12712" w:rsidP="00F127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7022EEE6" w14:textId="71F10088" w:rsidR="00F12712" w:rsidRPr="00884628" w:rsidRDefault="00F12712" w:rsidP="00F12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0733E897" w14:textId="45AE5B17" w:rsidR="00F12712" w:rsidRPr="007572B3" w:rsidRDefault="00F12712" w:rsidP="00F12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Tenant Purchase (Incremental Scheme)</w:t>
            </w:r>
          </w:p>
        </w:tc>
        <w:tc>
          <w:tcPr>
            <w:tcW w:w="1143" w:type="dxa"/>
            <w:noWrap/>
          </w:tcPr>
          <w:p w14:paraId="6D6EA638" w14:textId="29098EE5" w:rsidR="00F12712" w:rsidRPr="000F1F54" w:rsidRDefault="00F12712" w:rsidP="00F1271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91</w:t>
            </w:r>
          </w:p>
        </w:tc>
        <w:tc>
          <w:tcPr>
            <w:tcW w:w="1319" w:type="dxa"/>
            <w:noWrap/>
          </w:tcPr>
          <w:p w14:paraId="48EBA97B" w14:textId="313A207D" w:rsidR="00F12712" w:rsidRPr="000F1F54" w:rsidRDefault="00F12712" w:rsidP="00F1271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D45FE9" w:rsidRPr="000F1F54" w14:paraId="58EA41E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6C97420" w14:textId="509E900D" w:rsidR="00D45FE9" w:rsidRPr="000F1F54" w:rsidRDefault="00D45FE9" w:rsidP="00D45FE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49789CCE" w14:textId="6E091EF5" w:rsidR="00D45FE9" w:rsidRPr="00884628" w:rsidRDefault="00D45FE9" w:rsidP="00D45F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332478FB" w14:textId="6EF58DD8" w:rsidR="00D45FE9" w:rsidRPr="007572B3" w:rsidRDefault="00D45FE9" w:rsidP="00D45F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1143" w:type="dxa"/>
            <w:noWrap/>
          </w:tcPr>
          <w:p w14:paraId="19420F7A" w14:textId="7620F491" w:rsidR="00D45FE9" w:rsidRDefault="00F12712" w:rsidP="00D45FE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88</w:t>
            </w:r>
          </w:p>
        </w:tc>
        <w:tc>
          <w:tcPr>
            <w:tcW w:w="1319" w:type="dxa"/>
            <w:noWrap/>
          </w:tcPr>
          <w:p w14:paraId="16586A14" w14:textId="461EEC78" w:rsidR="00D45FE9" w:rsidRDefault="00D45FE9" w:rsidP="00D45FE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 w:rsidR="00F12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12712" w:rsidRPr="000F1F54" w14:paraId="58B7BBEC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DD163E5" w14:textId="1B0A05DD" w:rsidR="00F12712" w:rsidRPr="000F1F54" w:rsidRDefault="00F12712" w:rsidP="00F12712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04F20E7A" w14:textId="6A8FBD35" w:rsidR="00F12712" w:rsidRPr="00884628" w:rsidRDefault="00F12712" w:rsidP="00F12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55222055" w14:textId="275A96DD" w:rsidR="00F12712" w:rsidRPr="007572B3" w:rsidRDefault="00F12712" w:rsidP="00F12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Rental Accommodation Scheme (RAS)</w:t>
            </w:r>
          </w:p>
        </w:tc>
        <w:tc>
          <w:tcPr>
            <w:tcW w:w="1143" w:type="dxa"/>
            <w:noWrap/>
          </w:tcPr>
          <w:p w14:paraId="193F37B2" w14:textId="6E9E4782" w:rsidR="00F12712" w:rsidRPr="000F1F54" w:rsidRDefault="00F12712" w:rsidP="00F1271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83</w:t>
            </w:r>
          </w:p>
        </w:tc>
        <w:tc>
          <w:tcPr>
            <w:tcW w:w="1319" w:type="dxa"/>
            <w:noWrap/>
          </w:tcPr>
          <w:p w14:paraId="294860D6" w14:textId="7480EB6E" w:rsidR="00F12712" w:rsidRPr="000F1F54" w:rsidRDefault="00F12712" w:rsidP="00F1271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0.7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12712" w:rsidRPr="000F1F54" w14:paraId="1DED836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BB11FD5" w14:textId="1634D097" w:rsidR="00F12712" w:rsidRPr="000F1F54" w:rsidRDefault="00F12712" w:rsidP="00F12712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751EF2B6" w14:textId="0332DF04" w:rsidR="00F12712" w:rsidRPr="00884628" w:rsidRDefault="00F12712" w:rsidP="00F127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3F522322" w14:textId="51A24BBB" w:rsidR="00F12712" w:rsidRPr="007572B3" w:rsidRDefault="00F12712" w:rsidP="00F127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Anti-social behaviour</w:t>
            </w:r>
          </w:p>
        </w:tc>
        <w:tc>
          <w:tcPr>
            <w:tcW w:w="1143" w:type="dxa"/>
            <w:noWrap/>
          </w:tcPr>
          <w:p w14:paraId="4D1AA24C" w14:textId="28E2DE03" w:rsidR="00F12712" w:rsidRPr="000F1F54" w:rsidRDefault="00F12712" w:rsidP="00F1271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76</w:t>
            </w:r>
          </w:p>
        </w:tc>
        <w:tc>
          <w:tcPr>
            <w:tcW w:w="1319" w:type="dxa"/>
            <w:noWrap/>
          </w:tcPr>
          <w:p w14:paraId="11D11A60" w14:textId="207EF238" w:rsidR="00F12712" w:rsidRPr="000F1F54" w:rsidRDefault="00F12712" w:rsidP="00F1271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0.7%</w:t>
            </w:r>
          </w:p>
        </w:tc>
      </w:tr>
      <w:tr w:rsidR="00F12712" w:rsidRPr="000F1F54" w14:paraId="6A36EED7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BD6FEE7" w14:textId="61705368" w:rsidR="00F12712" w:rsidRPr="000F1F54" w:rsidRDefault="00F12712" w:rsidP="00F12712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41FDC0C1" w14:textId="2D3CA9F5" w:rsidR="00F12712" w:rsidRPr="00884628" w:rsidRDefault="00F12712" w:rsidP="00F12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3ED887FA" w14:textId="5952CC4A" w:rsidR="00F12712" w:rsidRPr="007572B3" w:rsidRDefault="00F12712" w:rsidP="00F12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Traveller Accommodation</w:t>
            </w:r>
          </w:p>
        </w:tc>
        <w:tc>
          <w:tcPr>
            <w:tcW w:w="1143" w:type="dxa"/>
            <w:noWrap/>
          </w:tcPr>
          <w:p w14:paraId="13E54FD3" w14:textId="5874278C" w:rsidR="00F12712" w:rsidRPr="000F1F54" w:rsidRDefault="00F12712" w:rsidP="00F1271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319" w:type="dxa"/>
            <w:noWrap/>
          </w:tcPr>
          <w:p w14:paraId="5F340880" w14:textId="115A3DDC" w:rsidR="00F12712" w:rsidRPr="000F1F54" w:rsidRDefault="00F12712" w:rsidP="00F1271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0.0%</w:t>
            </w:r>
          </w:p>
        </w:tc>
      </w:tr>
      <w:tr w:rsidR="000F1F54" w:rsidRPr="000F1F54" w14:paraId="43B32764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1E33B15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455E5F2F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0765DA6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67F37F65" w14:textId="60AC4D58" w:rsidR="000F1F54" w:rsidRPr="000F1F54" w:rsidRDefault="00D45FE9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11,</w:t>
            </w:r>
            <w:r w:rsidR="00F12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603</w:t>
            </w:r>
          </w:p>
        </w:tc>
        <w:tc>
          <w:tcPr>
            <w:tcW w:w="1319" w:type="dxa"/>
            <w:noWrap/>
            <w:hideMark/>
          </w:tcPr>
          <w:p w14:paraId="036B3A95" w14:textId="7777777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1B9C3275" w14:textId="77777777" w:rsidTr="002E38D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4AFB092F" w14:textId="115F435A" w:rsidR="000F1F54" w:rsidRPr="000F1F54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Housing Grants and Schemes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16.</w:t>
            </w:r>
            <w:r w:rsidR="00F127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0F1F54" w:rsidRPr="000F1F54" w14:paraId="4DF0D1B4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524878F0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41545F23" w14:textId="77777777" w:rsidR="000F1F54" w:rsidRPr="00884628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5382" w:type="dxa"/>
            <w:noWrap/>
            <w:hideMark/>
          </w:tcPr>
          <w:p w14:paraId="5CD29449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1143" w:type="dxa"/>
            <w:noWrap/>
            <w:hideMark/>
          </w:tcPr>
          <w:p w14:paraId="158F94CE" w14:textId="6E55A30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D45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="00F12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826</w:t>
            </w:r>
          </w:p>
        </w:tc>
        <w:tc>
          <w:tcPr>
            <w:tcW w:w="1319" w:type="dxa"/>
            <w:noWrap/>
            <w:hideMark/>
          </w:tcPr>
          <w:p w14:paraId="404C65F9" w14:textId="7777777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6EA21EE5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AA9D4D6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056E58A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30B0CA22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09473C84" w14:textId="2A2D84F6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3,</w:t>
            </w:r>
            <w:r w:rsidR="00F12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826</w:t>
            </w:r>
          </w:p>
        </w:tc>
        <w:tc>
          <w:tcPr>
            <w:tcW w:w="1319" w:type="dxa"/>
            <w:noWrap/>
            <w:hideMark/>
          </w:tcPr>
          <w:p w14:paraId="0CE95658" w14:textId="77777777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6E85E919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5C88287B" w14:textId="05B31015" w:rsidR="000F1F54" w:rsidRPr="000F1F54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Renting a Home</w:t>
            </w:r>
            <w:r w:rsidR="00F127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(Private Rental Accommodation)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</w:t>
            </w:r>
            <w:r w:rsidR="00F127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2.8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0F1F54" w:rsidRPr="000F1F54" w14:paraId="0DC726BC" w14:textId="77777777" w:rsidTr="002E38D9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24C4BEF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6409E05F" w14:textId="77777777" w:rsidR="000F1F54" w:rsidRPr="00884628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69F18077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1143" w:type="dxa"/>
            <w:noWrap/>
            <w:hideMark/>
          </w:tcPr>
          <w:p w14:paraId="70DA3AE8" w14:textId="1E735C5E" w:rsidR="000F1F54" w:rsidRPr="000F1F54" w:rsidRDefault="00F12712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727</w:t>
            </w:r>
          </w:p>
        </w:tc>
        <w:tc>
          <w:tcPr>
            <w:tcW w:w="1319" w:type="dxa"/>
            <w:noWrap/>
            <w:hideMark/>
          </w:tcPr>
          <w:p w14:paraId="7F12C2C6" w14:textId="2CC51434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F12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4.4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D45FE9" w:rsidRPr="000F1F54" w14:paraId="3997EA3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7F76327" w14:textId="7190B2EA" w:rsidR="00D45FE9" w:rsidRPr="000F1F54" w:rsidRDefault="00D45FE9" w:rsidP="00D45FE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28A3A111" w14:textId="572CA960" w:rsidR="00D45FE9" w:rsidRPr="00884628" w:rsidRDefault="00D45FE9" w:rsidP="00D45F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2866D11C" w14:textId="676AB724" w:rsidR="00D45FE9" w:rsidRPr="007572B3" w:rsidRDefault="00D45FE9" w:rsidP="00D45F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RTB (Residential Tenancies Board)</w:t>
            </w:r>
          </w:p>
        </w:tc>
        <w:tc>
          <w:tcPr>
            <w:tcW w:w="1143" w:type="dxa"/>
            <w:noWrap/>
          </w:tcPr>
          <w:p w14:paraId="0B70E10A" w14:textId="11744ACE" w:rsidR="00D45FE9" w:rsidRPr="000F1F54" w:rsidRDefault="00F12712" w:rsidP="00D45FE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520</w:t>
            </w:r>
          </w:p>
        </w:tc>
        <w:tc>
          <w:tcPr>
            <w:tcW w:w="1319" w:type="dxa"/>
            <w:noWrap/>
          </w:tcPr>
          <w:p w14:paraId="0475E326" w14:textId="528AE59F" w:rsidR="00D45FE9" w:rsidRPr="000F1F54" w:rsidRDefault="00D45FE9" w:rsidP="00D45FE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="00F12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.5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5BF7A5B5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C25B711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3DECC691" w14:textId="77777777" w:rsidR="000F1F54" w:rsidRPr="00884628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3F8A75C7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Tenant’s Rights and Obligations</w:t>
            </w:r>
          </w:p>
        </w:tc>
        <w:tc>
          <w:tcPr>
            <w:tcW w:w="1143" w:type="dxa"/>
            <w:noWrap/>
            <w:hideMark/>
          </w:tcPr>
          <w:p w14:paraId="3DD5299C" w14:textId="36883233" w:rsidR="000F1F54" w:rsidRPr="000F1F54" w:rsidRDefault="00F12712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440</w:t>
            </w:r>
          </w:p>
        </w:tc>
        <w:tc>
          <w:tcPr>
            <w:tcW w:w="1319" w:type="dxa"/>
            <w:noWrap/>
            <w:hideMark/>
          </w:tcPr>
          <w:p w14:paraId="35AA291A" w14:textId="10E20B3C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F12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4.8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04F4A65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69CF3BC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0E3F4B1E" w14:textId="77777777" w:rsidR="000F1F54" w:rsidRPr="00884628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2D316CE1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Landlords Rights &amp; Obligations</w:t>
            </w:r>
          </w:p>
        </w:tc>
        <w:tc>
          <w:tcPr>
            <w:tcW w:w="1143" w:type="dxa"/>
            <w:noWrap/>
            <w:hideMark/>
          </w:tcPr>
          <w:p w14:paraId="5C2AC94E" w14:textId="6AD7F48C" w:rsidR="000F1F54" w:rsidRPr="000F1F54" w:rsidRDefault="00F12712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337</w:t>
            </w:r>
          </w:p>
        </w:tc>
        <w:tc>
          <w:tcPr>
            <w:tcW w:w="1319" w:type="dxa"/>
            <w:noWrap/>
            <w:hideMark/>
          </w:tcPr>
          <w:p w14:paraId="70799FCE" w14:textId="23580FEF" w:rsidR="000F1F54" w:rsidRPr="000F1F54" w:rsidRDefault="00D45FE9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F12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1.3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33C8FFF0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8CC5F0C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73671E8E" w14:textId="77777777" w:rsidR="000F1F54" w:rsidRPr="00884628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560C2D90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 Review</w:t>
            </w:r>
          </w:p>
        </w:tc>
        <w:tc>
          <w:tcPr>
            <w:tcW w:w="1143" w:type="dxa"/>
            <w:noWrap/>
            <w:hideMark/>
          </w:tcPr>
          <w:p w14:paraId="2C3CD072" w14:textId="70C21B0B" w:rsidR="000F1F54" w:rsidRPr="000F1F54" w:rsidRDefault="00F12712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264</w:t>
            </w:r>
          </w:p>
        </w:tc>
        <w:tc>
          <w:tcPr>
            <w:tcW w:w="1319" w:type="dxa"/>
            <w:noWrap/>
            <w:hideMark/>
          </w:tcPr>
          <w:p w14:paraId="341564CE" w14:textId="475811F8" w:rsidR="000F1F54" w:rsidRPr="000F1F54" w:rsidRDefault="00F12712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8.9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4ADB3AE2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10F7081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Housing</w:t>
            </w:r>
          </w:p>
        </w:tc>
        <w:tc>
          <w:tcPr>
            <w:tcW w:w="4395" w:type="dxa"/>
            <w:noWrap/>
            <w:hideMark/>
          </w:tcPr>
          <w:p w14:paraId="085BE84C" w14:textId="77777777" w:rsidR="000F1F54" w:rsidRPr="00884628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48EB6082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1143" w:type="dxa"/>
            <w:noWrap/>
            <w:hideMark/>
          </w:tcPr>
          <w:p w14:paraId="08E23E36" w14:textId="40A608B6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F12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62</w:t>
            </w:r>
          </w:p>
        </w:tc>
        <w:tc>
          <w:tcPr>
            <w:tcW w:w="1319" w:type="dxa"/>
            <w:noWrap/>
            <w:hideMark/>
          </w:tcPr>
          <w:p w14:paraId="6A794F11" w14:textId="3B52974C" w:rsidR="000F1F54" w:rsidRPr="000F1F54" w:rsidRDefault="00D45FE9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</w:t>
            </w:r>
            <w:r w:rsidR="00F12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12712" w:rsidRPr="000F1F54" w14:paraId="0C594362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AC69973" w14:textId="5BD58E36" w:rsidR="00F12712" w:rsidRPr="000F1F54" w:rsidRDefault="00F12712" w:rsidP="00F127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1FF99D5B" w14:textId="2ABD92B2" w:rsidR="00F12712" w:rsidRPr="00884628" w:rsidRDefault="00F12712" w:rsidP="00F12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461677F6" w14:textId="45B191C7" w:rsidR="00F12712" w:rsidRPr="007572B3" w:rsidRDefault="00F12712" w:rsidP="00F12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Finding Accommodation</w:t>
            </w:r>
          </w:p>
        </w:tc>
        <w:tc>
          <w:tcPr>
            <w:tcW w:w="1143" w:type="dxa"/>
            <w:noWrap/>
          </w:tcPr>
          <w:p w14:paraId="6704F247" w14:textId="4AF8B778" w:rsidR="00F12712" w:rsidRPr="000F1F54" w:rsidRDefault="00F12712" w:rsidP="00F1271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139</w:t>
            </w:r>
          </w:p>
        </w:tc>
        <w:tc>
          <w:tcPr>
            <w:tcW w:w="1319" w:type="dxa"/>
            <w:noWrap/>
          </w:tcPr>
          <w:p w14:paraId="43CF8CCC" w14:textId="0EA7C01F" w:rsidR="00F12712" w:rsidRDefault="00F12712" w:rsidP="00F1271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4.7%</w:t>
            </w:r>
          </w:p>
        </w:tc>
      </w:tr>
      <w:tr w:rsidR="00F12712" w:rsidRPr="000F1F54" w14:paraId="3B42603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24C3BBF" w14:textId="113A46D0" w:rsidR="00F12712" w:rsidRPr="000F1F54" w:rsidRDefault="00F12712" w:rsidP="00F12712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619CE022" w14:textId="03BB4C4B" w:rsidR="00F12712" w:rsidRPr="00884628" w:rsidRDefault="00F12712" w:rsidP="00F127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5A4F58B5" w14:textId="436A8B99" w:rsidR="00F12712" w:rsidRPr="007572B3" w:rsidRDefault="00F12712" w:rsidP="00F127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Deposit Retention</w:t>
            </w:r>
          </w:p>
        </w:tc>
        <w:tc>
          <w:tcPr>
            <w:tcW w:w="1143" w:type="dxa"/>
            <w:noWrap/>
          </w:tcPr>
          <w:p w14:paraId="310B0839" w14:textId="2576D412" w:rsidR="00F12712" w:rsidRPr="000F1F54" w:rsidRDefault="00F12712" w:rsidP="00F1271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1319" w:type="dxa"/>
            <w:noWrap/>
          </w:tcPr>
          <w:p w14:paraId="0F473ED6" w14:textId="42D92F44" w:rsidR="00F12712" w:rsidRPr="000F1F54" w:rsidRDefault="00F12712" w:rsidP="00F1271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3.7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12712" w:rsidRPr="000F1F54" w14:paraId="7F42FF72" w14:textId="77777777" w:rsidTr="002E38D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76EC5AB" w14:textId="63A95DC8" w:rsidR="00F12712" w:rsidRPr="000F1F54" w:rsidRDefault="00F12712" w:rsidP="00F12712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4FA21B98" w14:textId="737FA682" w:rsidR="00F12712" w:rsidRPr="00884628" w:rsidRDefault="00F12712" w:rsidP="00F12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19097455" w14:textId="0323B5CD" w:rsidR="00F12712" w:rsidRPr="007572B3" w:rsidRDefault="00F12712" w:rsidP="00F12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1143" w:type="dxa"/>
            <w:noWrap/>
          </w:tcPr>
          <w:p w14:paraId="1AC099C1" w14:textId="642EDE72" w:rsidR="00F12712" w:rsidRPr="000F1F54" w:rsidRDefault="00F12712" w:rsidP="00F1271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02</w:t>
            </w:r>
          </w:p>
        </w:tc>
        <w:tc>
          <w:tcPr>
            <w:tcW w:w="1319" w:type="dxa"/>
            <w:noWrap/>
          </w:tcPr>
          <w:p w14:paraId="69D72F6B" w14:textId="6C8CC194" w:rsidR="00F12712" w:rsidRPr="000F1F54" w:rsidRDefault="00F12712" w:rsidP="00F1271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3.4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12712" w:rsidRPr="000F1F54" w14:paraId="31187B1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84EC7FA" w14:textId="75DD6C1B" w:rsidR="00F12712" w:rsidRPr="000F1F54" w:rsidRDefault="00F12712" w:rsidP="00F12712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115A9C90" w14:textId="4A893760" w:rsidR="00F12712" w:rsidRPr="00884628" w:rsidRDefault="00F12712" w:rsidP="00F127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5C34F283" w14:textId="0D1E498D" w:rsidR="00F12712" w:rsidRPr="007572B3" w:rsidRDefault="00F12712" w:rsidP="00F127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Licensee</w:t>
            </w:r>
          </w:p>
        </w:tc>
        <w:tc>
          <w:tcPr>
            <w:tcW w:w="1143" w:type="dxa"/>
            <w:noWrap/>
          </w:tcPr>
          <w:p w14:paraId="76488040" w14:textId="583700CE" w:rsidR="00F12712" w:rsidRPr="000F1F54" w:rsidRDefault="00F12712" w:rsidP="00F1271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98</w:t>
            </w:r>
          </w:p>
        </w:tc>
        <w:tc>
          <w:tcPr>
            <w:tcW w:w="1319" w:type="dxa"/>
            <w:noWrap/>
          </w:tcPr>
          <w:p w14:paraId="566D1055" w14:textId="3928A19F" w:rsidR="00F12712" w:rsidRPr="000F1F54" w:rsidRDefault="00F12712" w:rsidP="00F1271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3.3%</w:t>
            </w:r>
          </w:p>
        </w:tc>
      </w:tr>
      <w:tr w:rsidR="00F12712" w:rsidRPr="000F1F54" w14:paraId="4C9D81E7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0C56B8F" w14:textId="5B6EB8C4" w:rsidR="00F12712" w:rsidRPr="000F1F54" w:rsidRDefault="00F12712" w:rsidP="00F12712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40BC3F37" w14:textId="41B32460" w:rsidR="00F12712" w:rsidRPr="00884628" w:rsidRDefault="00F12712" w:rsidP="00F12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10D1FAE6" w14:textId="6293697A" w:rsidR="00F12712" w:rsidRPr="007572B3" w:rsidRDefault="00F12712" w:rsidP="00F12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Cost Rental</w:t>
            </w:r>
          </w:p>
        </w:tc>
        <w:tc>
          <w:tcPr>
            <w:tcW w:w="1143" w:type="dxa"/>
            <w:noWrap/>
          </w:tcPr>
          <w:p w14:paraId="6292FBD4" w14:textId="2731F03D" w:rsidR="00F12712" w:rsidRPr="000F1F54" w:rsidRDefault="00F12712" w:rsidP="00F1271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46</w:t>
            </w:r>
          </w:p>
        </w:tc>
        <w:tc>
          <w:tcPr>
            <w:tcW w:w="1319" w:type="dxa"/>
            <w:noWrap/>
          </w:tcPr>
          <w:p w14:paraId="3BD3EFA6" w14:textId="4F5EF76D" w:rsidR="00F12712" w:rsidRDefault="00F12712" w:rsidP="00F1271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1.6%</w:t>
            </w:r>
          </w:p>
        </w:tc>
      </w:tr>
      <w:tr w:rsidR="00F12712" w:rsidRPr="000F1F54" w14:paraId="14C272E4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B0ADA65" w14:textId="1087434E" w:rsidR="00F12712" w:rsidRPr="000F1F54" w:rsidRDefault="00F12712" w:rsidP="00F12712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4A694A2E" w14:textId="302DC54E" w:rsidR="00F12712" w:rsidRPr="00884628" w:rsidRDefault="00F12712" w:rsidP="00F127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444F995B" w14:textId="66A267EA" w:rsidR="00F12712" w:rsidRPr="007572B3" w:rsidRDefault="00F12712" w:rsidP="00F127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Short-term rental lets</w:t>
            </w:r>
          </w:p>
        </w:tc>
        <w:tc>
          <w:tcPr>
            <w:tcW w:w="1143" w:type="dxa"/>
            <w:noWrap/>
          </w:tcPr>
          <w:p w14:paraId="3CBB1F4F" w14:textId="71F55CEB" w:rsidR="00F12712" w:rsidRPr="000F1F54" w:rsidRDefault="00F12712" w:rsidP="00F1271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1319" w:type="dxa"/>
            <w:noWrap/>
          </w:tcPr>
          <w:p w14:paraId="71ACFF13" w14:textId="7CC3C97A" w:rsidR="00F12712" w:rsidRDefault="00F12712" w:rsidP="00F1271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0.7%</w:t>
            </w:r>
          </w:p>
        </w:tc>
      </w:tr>
      <w:tr w:rsidR="00F12712" w:rsidRPr="000F1F54" w14:paraId="3B61256D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42F7234" w14:textId="66F6FD20" w:rsidR="00F12712" w:rsidRPr="000F1F54" w:rsidRDefault="00F12712" w:rsidP="00F12712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0B3D1D92" w14:textId="2C59B2E1" w:rsidR="00F12712" w:rsidRPr="00884628" w:rsidRDefault="00F12712" w:rsidP="00F12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42A41400" w14:textId="257C5C2F" w:rsidR="00F12712" w:rsidRDefault="00F12712" w:rsidP="00F12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Non-Resident Landlord (Withholding Tax)</w:t>
            </w:r>
          </w:p>
        </w:tc>
        <w:tc>
          <w:tcPr>
            <w:tcW w:w="1143" w:type="dxa"/>
            <w:noWrap/>
          </w:tcPr>
          <w:p w14:paraId="2BA0130D" w14:textId="35059082" w:rsidR="00F12712" w:rsidRDefault="00F12712" w:rsidP="00F1271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9 </w:t>
            </w:r>
          </w:p>
        </w:tc>
        <w:tc>
          <w:tcPr>
            <w:tcW w:w="1319" w:type="dxa"/>
            <w:noWrap/>
          </w:tcPr>
          <w:p w14:paraId="3707A567" w14:textId="4C8B0923" w:rsidR="00F12712" w:rsidRDefault="00F12712" w:rsidP="00F1271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0.3%</w:t>
            </w:r>
          </w:p>
        </w:tc>
      </w:tr>
      <w:tr w:rsidR="00F12712" w:rsidRPr="000F1F54" w14:paraId="0E4EBA3B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3374F58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4BEB8D9A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6A43459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0479074A" w14:textId="28392ABC" w:rsidR="000F1F54" w:rsidRPr="000F1F54" w:rsidRDefault="00F12712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2,975</w:t>
            </w:r>
          </w:p>
        </w:tc>
        <w:tc>
          <w:tcPr>
            <w:tcW w:w="1319" w:type="dxa"/>
            <w:noWrap/>
            <w:hideMark/>
          </w:tcPr>
          <w:p w14:paraId="321943E7" w14:textId="7777777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333C4F" w:rsidRPr="000F1F54" w14:paraId="42D54409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</w:tcPr>
          <w:p w14:paraId="19A750D9" w14:textId="4C908596" w:rsidR="00333C4F" w:rsidRPr="00A06D9C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333C4F" w:rsidRPr="00A06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Home Energy Grants (SEAI)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F127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7.8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F12712" w:rsidRPr="000F1F54" w14:paraId="3BBFD8AF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AD37F29" w14:textId="42FEEE21" w:rsidR="00333C4F" w:rsidRPr="000F1F54" w:rsidRDefault="00333C4F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  <w:t xml:space="preserve">Housing </w:t>
            </w:r>
          </w:p>
        </w:tc>
        <w:tc>
          <w:tcPr>
            <w:tcW w:w="4395" w:type="dxa"/>
            <w:noWrap/>
          </w:tcPr>
          <w:p w14:paraId="3EC1FC45" w14:textId="31918F9C" w:rsidR="00333C4F" w:rsidRPr="000F1F54" w:rsidRDefault="00333C4F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Home Energy Grants (SEAI)</w:t>
            </w:r>
          </w:p>
        </w:tc>
        <w:tc>
          <w:tcPr>
            <w:tcW w:w="5382" w:type="dxa"/>
            <w:noWrap/>
          </w:tcPr>
          <w:p w14:paraId="32F7BBA2" w14:textId="6A8E0E96" w:rsidR="00333C4F" w:rsidRPr="007572B3" w:rsidRDefault="00333C4F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Home Energy Grants (SEAI)</w:t>
            </w:r>
          </w:p>
        </w:tc>
        <w:tc>
          <w:tcPr>
            <w:tcW w:w="1143" w:type="dxa"/>
            <w:noWrap/>
          </w:tcPr>
          <w:p w14:paraId="64E60426" w14:textId="6976BD75" w:rsidR="00333C4F" w:rsidRPr="00333C4F" w:rsidRDefault="00333C4F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33C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8E5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="00F12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825</w:t>
            </w:r>
          </w:p>
        </w:tc>
        <w:tc>
          <w:tcPr>
            <w:tcW w:w="1319" w:type="dxa"/>
            <w:noWrap/>
          </w:tcPr>
          <w:p w14:paraId="673A1EE3" w14:textId="10D463BA" w:rsidR="00333C4F" w:rsidRPr="00333C4F" w:rsidRDefault="00333C4F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33C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12712" w:rsidRPr="000F1F54" w14:paraId="1F2582EC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B9EBDE0" w14:textId="77777777" w:rsidR="00333C4F" w:rsidRPr="000F1F54" w:rsidRDefault="00333C4F" w:rsidP="00333C4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53E714E3" w14:textId="77777777" w:rsidR="00333C4F" w:rsidRPr="000F1F54" w:rsidRDefault="00333C4F" w:rsidP="00333C4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382" w:type="dxa"/>
            <w:noWrap/>
          </w:tcPr>
          <w:p w14:paraId="6319327D" w14:textId="77777777" w:rsidR="00333C4F" w:rsidRPr="000F1F54" w:rsidRDefault="00333C4F" w:rsidP="00333C4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143" w:type="dxa"/>
            <w:noWrap/>
          </w:tcPr>
          <w:p w14:paraId="58B2C012" w14:textId="7B89622E" w:rsidR="00333C4F" w:rsidRDefault="00333C4F" w:rsidP="00333C4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8E5D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,</w:t>
            </w:r>
            <w:r w:rsidR="00F12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825</w:t>
            </w:r>
          </w:p>
        </w:tc>
        <w:tc>
          <w:tcPr>
            <w:tcW w:w="1319" w:type="dxa"/>
            <w:noWrap/>
          </w:tcPr>
          <w:p w14:paraId="5C7F6A7F" w14:textId="63855821" w:rsidR="00333C4F" w:rsidRPr="000F1F54" w:rsidRDefault="00333C4F" w:rsidP="00333C4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0F1F54" w:rsidRPr="000F1F54" w14:paraId="45BAC72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7D4B1D95" w14:textId="654B63E2" w:rsidR="000F1F54" w:rsidRPr="000F1F54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Other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4.</w:t>
            </w:r>
            <w:r w:rsidR="00F127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F12712" w:rsidRPr="000F1F54" w14:paraId="0078CABD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976FDE8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54F785D8" w14:textId="77777777" w:rsidR="000F1F54" w:rsidRPr="00884628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5382" w:type="dxa"/>
            <w:noWrap/>
            <w:hideMark/>
          </w:tcPr>
          <w:p w14:paraId="36D6A422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143" w:type="dxa"/>
            <w:noWrap/>
            <w:hideMark/>
          </w:tcPr>
          <w:p w14:paraId="63637F12" w14:textId="1BB38454" w:rsidR="000F1F54" w:rsidRPr="000F1F54" w:rsidRDefault="008E5DE1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  <w:r w:rsidR="00F12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75</w:t>
            </w:r>
          </w:p>
        </w:tc>
        <w:tc>
          <w:tcPr>
            <w:tcW w:w="1319" w:type="dxa"/>
            <w:noWrap/>
            <w:hideMark/>
          </w:tcPr>
          <w:p w14:paraId="7B0EC3C1" w14:textId="77777777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F12712" w:rsidRPr="000F1F54" w14:paraId="769D0C54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35065F72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0886764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1BF3378B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5CA680F3" w14:textId="3877DF26" w:rsidR="000F1F54" w:rsidRPr="000F1F54" w:rsidRDefault="008E5DE1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</w:t>
            </w:r>
            <w:r w:rsidR="00F127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75</w:t>
            </w:r>
          </w:p>
        </w:tc>
        <w:tc>
          <w:tcPr>
            <w:tcW w:w="1319" w:type="dxa"/>
            <w:noWrap/>
            <w:hideMark/>
          </w:tcPr>
          <w:p w14:paraId="7AADBF9E" w14:textId="7777777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43A673D6" w14:textId="77777777" w:rsidTr="002E38D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01EEDD25" w14:textId="6080091A" w:rsidR="000F1F54" w:rsidRPr="000F1F54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Homelessness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F127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4.0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F12712" w:rsidRPr="000F1F54" w14:paraId="7E0BC4F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63B6B6B4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738BFFB0" w14:textId="77777777" w:rsidR="000F1F54" w:rsidRPr="00884628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5382" w:type="dxa"/>
            <w:noWrap/>
            <w:hideMark/>
          </w:tcPr>
          <w:p w14:paraId="5CDCFD25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1143" w:type="dxa"/>
            <w:noWrap/>
            <w:hideMark/>
          </w:tcPr>
          <w:p w14:paraId="24E8582C" w14:textId="62EE7EF8" w:rsidR="000F1F54" w:rsidRPr="000F1F54" w:rsidRDefault="00F12712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938</w:t>
            </w:r>
          </w:p>
        </w:tc>
        <w:tc>
          <w:tcPr>
            <w:tcW w:w="1319" w:type="dxa"/>
            <w:noWrap/>
            <w:hideMark/>
          </w:tcPr>
          <w:p w14:paraId="008B60C3" w14:textId="7777777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F12712" w:rsidRPr="000F1F54" w14:paraId="21E3ABB8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4905DC6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16A47BA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754E7964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5E93F4D3" w14:textId="7754AAB2" w:rsidR="000F1F54" w:rsidRPr="000F1F54" w:rsidRDefault="00F12712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938</w:t>
            </w:r>
          </w:p>
        </w:tc>
        <w:tc>
          <w:tcPr>
            <w:tcW w:w="1319" w:type="dxa"/>
            <w:noWrap/>
            <w:hideMark/>
          </w:tcPr>
          <w:p w14:paraId="6D243A76" w14:textId="77777777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39414AE9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363F6638" w14:textId="0E24F5DB" w:rsidR="000F1F54" w:rsidRPr="000F1F54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Buying</w:t>
            </w:r>
            <w:r w:rsidR="00F127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/ Owning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a Home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F127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3.0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F12712" w:rsidRPr="000F1F54" w14:paraId="1B6A501A" w14:textId="77777777" w:rsidTr="002E38D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8E39AF3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6EBC08A2" w14:textId="77777777" w:rsidR="000F1F54" w:rsidRPr="00884628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5382" w:type="dxa"/>
            <w:noWrap/>
            <w:hideMark/>
          </w:tcPr>
          <w:p w14:paraId="3EA41D12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1143" w:type="dxa"/>
            <w:noWrap/>
            <w:hideMark/>
          </w:tcPr>
          <w:p w14:paraId="38FC1CDF" w14:textId="1AD3577E" w:rsidR="000F1F54" w:rsidRPr="000F1F54" w:rsidRDefault="00F12712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709</w:t>
            </w:r>
          </w:p>
        </w:tc>
        <w:tc>
          <w:tcPr>
            <w:tcW w:w="1319" w:type="dxa"/>
            <w:noWrap/>
            <w:hideMark/>
          </w:tcPr>
          <w:p w14:paraId="3AEC6EFA" w14:textId="77777777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F12712" w:rsidRPr="000F1F54" w14:paraId="28A0D23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588FC2C5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1E2FEACB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F4F1E73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094FFE2B" w14:textId="2CCD64F6" w:rsidR="000F1F54" w:rsidRPr="000F1F54" w:rsidRDefault="00F12712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709</w:t>
            </w:r>
          </w:p>
        </w:tc>
        <w:tc>
          <w:tcPr>
            <w:tcW w:w="1319" w:type="dxa"/>
            <w:noWrap/>
            <w:hideMark/>
          </w:tcPr>
          <w:p w14:paraId="5CD669AC" w14:textId="7777777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F7078F" w:rsidRPr="000F1F54" w14:paraId="0357EDEE" w14:textId="77777777" w:rsidTr="001430A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</w:tcPr>
          <w:p w14:paraId="6C549152" w14:textId="5CD47F15" w:rsidR="00F7078F" w:rsidRPr="000F1F54" w:rsidRDefault="00F7078F" w:rsidP="00F707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649"/>
                <w:tab w:val="left" w:pos="7200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A06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Losing your Home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0.5%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F7078F" w:rsidRPr="000F1F54" w14:paraId="5D62628E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60C3A2D" w14:textId="581E4BBC" w:rsidR="00F7078F" w:rsidRPr="000F1F54" w:rsidRDefault="00F7078F" w:rsidP="00F707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6E2096DA" w14:textId="1D4C5207" w:rsidR="00F7078F" w:rsidRPr="000F1F54" w:rsidRDefault="00F7078F" w:rsidP="00F707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5382" w:type="dxa"/>
            <w:noWrap/>
          </w:tcPr>
          <w:p w14:paraId="73482679" w14:textId="13F38B25" w:rsidR="00F7078F" w:rsidRPr="000F1F54" w:rsidRDefault="00F7078F" w:rsidP="00F707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1143" w:type="dxa"/>
            <w:noWrap/>
          </w:tcPr>
          <w:p w14:paraId="31F8E4C5" w14:textId="7764213A" w:rsidR="00F7078F" w:rsidRPr="00F7078F" w:rsidRDefault="00F7078F" w:rsidP="00F7078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70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1319" w:type="dxa"/>
            <w:noWrap/>
          </w:tcPr>
          <w:p w14:paraId="346D3A4D" w14:textId="55CCD029" w:rsidR="00F7078F" w:rsidRPr="000F1F54" w:rsidRDefault="00F7078F" w:rsidP="00F7078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F7078F" w:rsidRPr="000F1F54" w14:paraId="7EAEAADA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F64A1F0" w14:textId="77777777" w:rsidR="00F7078F" w:rsidRPr="000F1F54" w:rsidRDefault="00F7078F" w:rsidP="00F707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42A54E1A" w14:textId="77777777" w:rsidR="00F7078F" w:rsidRPr="000F1F54" w:rsidRDefault="00F7078F" w:rsidP="00F707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382" w:type="dxa"/>
            <w:noWrap/>
          </w:tcPr>
          <w:p w14:paraId="5AB21416" w14:textId="2D5A88BE" w:rsidR="00F7078F" w:rsidRPr="000F1F54" w:rsidRDefault="00F7078F" w:rsidP="00F707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</w:tcPr>
          <w:p w14:paraId="7CB96542" w14:textId="026AA491" w:rsidR="00F7078F" w:rsidRDefault="00F7078F" w:rsidP="00F7078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119</w:t>
            </w:r>
          </w:p>
        </w:tc>
        <w:tc>
          <w:tcPr>
            <w:tcW w:w="1319" w:type="dxa"/>
            <w:noWrap/>
          </w:tcPr>
          <w:p w14:paraId="6F6E89F0" w14:textId="034A1F73" w:rsidR="00F7078F" w:rsidRPr="000F1F54" w:rsidRDefault="00F7078F" w:rsidP="00F7078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5CF9E73C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3CAD3C95" w14:textId="01926C90" w:rsidR="000F1F54" w:rsidRPr="000F1F54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Planning Permission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0.</w:t>
            </w:r>
            <w:r w:rsidR="00F707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F12712" w:rsidRPr="000F1F54" w14:paraId="2A369B0E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7A28D118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0AEA7FEE" w14:textId="77777777" w:rsidR="000F1F54" w:rsidRPr="00884628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5382" w:type="dxa"/>
            <w:noWrap/>
            <w:hideMark/>
          </w:tcPr>
          <w:p w14:paraId="613A8AD3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1143" w:type="dxa"/>
            <w:noWrap/>
            <w:hideMark/>
          </w:tcPr>
          <w:p w14:paraId="1DECB7CA" w14:textId="4B17F6AD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F70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03</w:t>
            </w:r>
          </w:p>
        </w:tc>
        <w:tc>
          <w:tcPr>
            <w:tcW w:w="1319" w:type="dxa"/>
            <w:noWrap/>
            <w:hideMark/>
          </w:tcPr>
          <w:p w14:paraId="1D5392E2" w14:textId="77777777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F12712" w:rsidRPr="000F1F54" w14:paraId="0FE338B2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BE72F59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3F1012D8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66AFB412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7D9BFAF1" w14:textId="062AFCE3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F70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03</w:t>
            </w:r>
          </w:p>
        </w:tc>
        <w:tc>
          <w:tcPr>
            <w:tcW w:w="1319" w:type="dxa"/>
            <w:noWrap/>
            <w:hideMark/>
          </w:tcPr>
          <w:p w14:paraId="63F6D8AC" w14:textId="7777777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53D79DCF" w14:textId="77777777" w:rsidTr="002E38D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1B02C1F5" w14:textId="31E96E6F" w:rsidR="000F1F54" w:rsidRPr="000F1F54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All other sub-categories (&lt;100 </w:t>
            </w:r>
            <w:r w:rsidR="00F07155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queries) *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F12712" w:rsidRPr="000F1F54" w14:paraId="2701E14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1CDE4D2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22CFFEDE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071556E" w14:textId="77777777" w:rsidR="000F1F54" w:rsidRPr="00884628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8846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1143" w:type="dxa"/>
            <w:noWrap/>
            <w:hideMark/>
          </w:tcPr>
          <w:p w14:paraId="36E71B14" w14:textId="22D703EF" w:rsidR="000F1F54" w:rsidRPr="000F1F54" w:rsidRDefault="003D77C9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F70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1319" w:type="dxa"/>
            <w:noWrap/>
            <w:hideMark/>
          </w:tcPr>
          <w:p w14:paraId="5B0697FE" w14:textId="7777777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F12712" w:rsidRPr="000F1F54" w14:paraId="35B21228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E2C8A95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DCD4088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6318969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5571391D" w14:textId="1B7350A4" w:rsidR="000F1F54" w:rsidRPr="000F1F54" w:rsidRDefault="003D77C9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</w:t>
            </w:r>
            <w:r w:rsidR="00F70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1319" w:type="dxa"/>
            <w:noWrap/>
            <w:hideMark/>
          </w:tcPr>
          <w:p w14:paraId="73A901AC" w14:textId="77777777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F12712" w:rsidRPr="000F1F54" w14:paraId="3916233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B6F46F3" w14:textId="77777777" w:rsidR="000F1F54" w:rsidRPr="000F1F54" w:rsidRDefault="000F1F54" w:rsidP="000F1F54">
            <w:pPr>
              <w:spacing w:line="240" w:lineRule="auto"/>
              <w:rPr>
                <w:rFonts w:ascii="Tw Cen MT" w:eastAsia="Times New Roman" w:hAnsi="Tw Cen MT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47019784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31E887C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 Housing Queries</w:t>
            </w:r>
          </w:p>
        </w:tc>
        <w:tc>
          <w:tcPr>
            <w:tcW w:w="1143" w:type="dxa"/>
            <w:noWrap/>
            <w:hideMark/>
          </w:tcPr>
          <w:p w14:paraId="6566B53E" w14:textId="72B95AD6" w:rsidR="000F1F54" w:rsidRPr="000F1F54" w:rsidRDefault="00D45FE9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23</w:t>
            </w:r>
            <w:r w:rsidR="000F1F54" w:rsidRPr="000F1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,</w:t>
            </w:r>
            <w:r w:rsidR="00F707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294</w:t>
            </w:r>
          </w:p>
        </w:tc>
        <w:tc>
          <w:tcPr>
            <w:tcW w:w="1319" w:type="dxa"/>
            <w:noWrap/>
            <w:hideMark/>
          </w:tcPr>
          <w:p w14:paraId="3043EE35" w14:textId="7777777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100.00%</w:t>
            </w:r>
          </w:p>
        </w:tc>
      </w:tr>
    </w:tbl>
    <w:p w14:paraId="6AF5087A" w14:textId="351A4390" w:rsidR="00351D72" w:rsidRPr="00673AF1" w:rsidRDefault="00B561A4" w:rsidP="00673AF1">
      <w:pPr>
        <w:ind w:left="360"/>
        <w:rPr>
          <w:rFonts w:ascii="Calibri" w:hAnsi="Calibri" w:cs="Calibri"/>
          <w:sz w:val="20"/>
          <w:szCs w:val="20"/>
          <w:lang w:val="en-US"/>
        </w:rPr>
        <w:sectPr w:rsidR="00351D72" w:rsidRPr="00673AF1" w:rsidSect="00681F13">
          <w:type w:val="continuous"/>
          <w:pgSz w:w="16838" w:h="11906" w:orient="landscape"/>
          <w:pgMar w:top="1134" w:right="1440" w:bottom="1440" w:left="1440" w:header="709" w:footer="709" w:gutter="0"/>
          <w:cols w:space="708"/>
          <w:docGrid w:linePitch="360"/>
        </w:sectPr>
      </w:pPr>
      <w:r w:rsidRPr="00673AF1">
        <w:rPr>
          <w:b/>
          <w:lang w:val="en-US"/>
        </w:rPr>
        <w:t>*</w:t>
      </w:r>
      <w:r w:rsidRPr="00673AF1">
        <w:rPr>
          <w:rFonts w:ascii="Calibri" w:hAnsi="Calibri" w:cs="Calibri"/>
          <w:sz w:val="20"/>
          <w:szCs w:val="20"/>
          <w:lang w:val="en-US"/>
        </w:rPr>
        <w:t xml:space="preserve">All other sub-categories include the following query areas: Emergency Accommodation; </w:t>
      </w:r>
      <w:r w:rsidR="00F7078F" w:rsidRPr="00673AF1">
        <w:rPr>
          <w:rFonts w:ascii="Calibri" w:hAnsi="Calibri" w:cs="Calibri"/>
          <w:sz w:val="20"/>
          <w:szCs w:val="20"/>
          <w:lang w:val="en-US"/>
        </w:rPr>
        <w:t xml:space="preserve">Building or Altering a Home; </w:t>
      </w:r>
      <w:r w:rsidRPr="00673AF1">
        <w:rPr>
          <w:rFonts w:ascii="Calibri" w:hAnsi="Calibri" w:cs="Calibri"/>
          <w:sz w:val="20"/>
          <w:szCs w:val="20"/>
          <w:lang w:val="en-US"/>
        </w:rPr>
        <w:t>Management Companies (Apartment Blocks); Equality/Housing Discrimination.</w:t>
      </w:r>
    </w:p>
    <w:p w14:paraId="58C4E06B" w14:textId="77777777" w:rsidR="00F07155" w:rsidRDefault="00F07155" w:rsidP="005A3512">
      <w:pPr>
        <w:rPr>
          <w:rFonts w:ascii="Calibri" w:hAnsi="Calibri" w:cs="Calibri"/>
          <w:b/>
          <w:lang w:val="en-US"/>
        </w:rPr>
      </w:pPr>
    </w:p>
    <w:p w14:paraId="48EA627C" w14:textId="63BBD630" w:rsidR="0020681F" w:rsidRPr="000377CA" w:rsidRDefault="00B60276" w:rsidP="0020681F">
      <w:pPr>
        <w:rPr>
          <w:rFonts w:ascii="Calibri" w:hAnsi="Calibri" w:cs="Calibri"/>
          <w:lang w:val="en-US"/>
        </w:rPr>
      </w:pPr>
      <w:r w:rsidRPr="000377CA">
        <w:rPr>
          <w:rFonts w:ascii="Calibri" w:hAnsi="Calibri" w:cs="Calibri"/>
          <w:b/>
          <w:lang w:val="en-US"/>
        </w:rPr>
        <w:t xml:space="preserve">Table </w:t>
      </w:r>
      <w:r w:rsidR="00F84912" w:rsidRPr="000377CA">
        <w:rPr>
          <w:rFonts w:ascii="Calibri" w:hAnsi="Calibri" w:cs="Calibri"/>
          <w:b/>
          <w:lang w:val="en-US"/>
        </w:rPr>
        <w:t>1</w:t>
      </w:r>
      <w:r w:rsidR="003D0788">
        <w:rPr>
          <w:rFonts w:ascii="Calibri" w:hAnsi="Calibri" w:cs="Calibri"/>
          <w:b/>
          <w:lang w:val="en-US"/>
        </w:rPr>
        <w:t>3</w:t>
      </w:r>
      <w:r w:rsidRPr="000377CA">
        <w:rPr>
          <w:rFonts w:ascii="Calibri" w:hAnsi="Calibri" w:cs="Calibri"/>
          <w:lang w:val="en-US"/>
        </w:rPr>
        <w:t xml:space="preserve"> sets out the </w:t>
      </w:r>
      <w:r w:rsidR="004D2275" w:rsidRPr="000377CA">
        <w:rPr>
          <w:rFonts w:ascii="Calibri" w:hAnsi="Calibri" w:cs="Calibri"/>
          <w:b/>
          <w:lang w:val="en-US"/>
        </w:rPr>
        <w:t>Health</w:t>
      </w:r>
      <w:r w:rsidR="004272D5" w:rsidRPr="000377CA">
        <w:rPr>
          <w:rFonts w:ascii="Calibri" w:hAnsi="Calibri" w:cs="Calibri"/>
          <w:b/>
          <w:lang w:val="en-US"/>
        </w:rPr>
        <w:t xml:space="preserve"> </w:t>
      </w:r>
      <w:r w:rsidR="004272D5" w:rsidRPr="000377CA">
        <w:rPr>
          <w:rFonts w:ascii="Calibri" w:hAnsi="Calibri" w:cs="Calibri"/>
          <w:lang w:val="en-US"/>
        </w:rPr>
        <w:t>queries</w:t>
      </w:r>
      <w:r w:rsidRPr="000377CA">
        <w:rPr>
          <w:rFonts w:ascii="Calibri" w:hAnsi="Calibri" w:cs="Calibri"/>
          <w:lang w:val="en-US"/>
        </w:rPr>
        <w:t xml:space="preserve"> data</w:t>
      </w:r>
      <w:r w:rsidR="00480671" w:rsidRPr="000377CA">
        <w:rPr>
          <w:rFonts w:ascii="Calibri" w:hAnsi="Calibri" w:cs="Calibri"/>
          <w:lang w:val="en-US"/>
        </w:rPr>
        <w:t>set for Quarter 1</w:t>
      </w:r>
      <w:r w:rsidR="004D2275" w:rsidRPr="000377CA">
        <w:rPr>
          <w:rFonts w:ascii="Calibri" w:hAnsi="Calibri" w:cs="Calibri"/>
          <w:lang w:val="en-US"/>
        </w:rPr>
        <w:t>,</w:t>
      </w:r>
      <w:r w:rsidR="00C22B32" w:rsidRPr="000377CA">
        <w:rPr>
          <w:rFonts w:ascii="Calibri" w:hAnsi="Calibri" w:cs="Calibri"/>
          <w:lang w:val="en-US"/>
        </w:rPr>
        <w:t xml:space="preserve"> 202</w:t>
      </w:r>
      <w:r w:rsidR="000377CA">
        <w:rPr>
          <w:rFonts w:ascii="Calibri" w:hAnsi="Calibri" w:cs="Calibri"/>
          <w:lang w:val="en-US"/>
        </w:rPr>
        <w:t>4</w:t>
      </w:r>
      <w:r w:rsidR="00C43171" w:rsidRPr="000377CA">
        <w:rPr>
          <w:rFonts w:ascii="Calibri" w:hAnsi="Calibri" w:cs="Calibri"/>
          <w:lang w:val="en-US"/>
        </w:rPr>
        <w:t xml:space="preserve">, these queries represented </w:t>
      </w:r>
      <w:r w:rsidR="00412E64">
        <w:rPr>
          <w:rFonts w:ascii="Calibri" w:hAnsi="Calibri" w:cs="Calibri"/>
          <w:lang w:val="en-US"/>
        </w:rPr>
        <w:t>8.2</w:t>
      </w:r>
      <w:r w:rsidR="00C43171" w:rsidRPr="000377CA">
        <w:rPr>
          <w:rFonts w:ascii="Calibri" w:hAnsi="Calibri" w:cs="Calibri"/>
          <w:lang w:val="en-US"/>
        </w:rPr>
        <w:t xml:space="preserve">% of all queries. Health queries increased by </w:t>
      </w:r>
      <w:r w:rsidR="000377CA">
        <w:rPr>
          <w:rFonts w:ascii="Calibri" w:hAnsi="Calibri" w:cs="Calibri"/>
          <w:lang w:val="en-US"/>
        </w:rPr>
        <w:t>3.6</w:t>
      </w:r>
      <w:r w:rsidR="00C43171" w:rsidRPr="000377CA">
        <w:rPr>
          <w:rFonts w:ascii="Calibri" w:hAnsi="Calibri" w:cs="Calibri"/>
          <w:lang w:val="en-US"/>
        </w:rPr>
        <w:t>% compared to the same quarter in 202</w:t>
      </w:r>
      <w:r w:rsidR="000377CA">
        <w:rPr>
          <w:rFonts w:ascii="Calibri" w:hAnsi="Calibri" w:cs="Calibri"/>
          <w:lang w:val="en-US"/>
        </w:rPr>
        <w:t>3</w:t>
      </w:r>
      <w:r w:rsidR="00C43171" w:rsidRPr="000377CA">
        <w:rPr>
          <w:rFonts w:ascii="Calibri" w:hAnsi="Calibri" w:cs="Calibri"/>
          <w:lang w:val="en-US"/>
        </w:rPr>
        <w:t xml:space="preserve">. </w:t>
      </w:r>
    </w:p>
    <w:p w14:paraId="3BDB8DEC" w14:textId="6A19FB44" w:rsidR="0020681F" w:rsidRDefault="0020681F" w:rsidP="0020681F">
      <w:pPr>
        <w:rPr>
          <w:rFonts w:ascii="Calibri" w:hAnsi="Calibri" w:cs="Calibri"/>
          <w:bCs/>
          <w:lang w:val="en-US"/>
        </w:rPr>
      </w:pPr>
      <w:r w:rsidRPr="000377CA">
        <w:rPr>
          <w:rFonts w:ascii="Calibri" w:hAnsi="Calibri" w:cs="Calibri"/>
          <w:u w:val="single"/>
          <w:lang w:val="en-US"/>
        </w:rPr>
        <w:t>Query</w:t>
      </w:r>
      <w:r w:rsidRPr="000377CA">
        <w:rPr>
          <w:rFonts w:ascii="Calibri" w:hAnsi="Calibri" w:cs="Calibri"/>
          <w:bCs/>
          <w:u w:val="single"/>
          <w:lang w:val="en-US"/>
        </w:rPr>
        <w:t xml:space="preserve"> statistics relating to Health</w:t>
      </w:r>
      <w:r w:rsidRPr="000377CA">
        <w:rPr>
          <w:rFonts w:ascii="Calibri" w:hAnsi="Calibri" w:cs="Calibri"/>
          <w:bCs/>
          <w:lang w:val="en-US"/>
        </w:rPr>
        <w:t>.</w:t>
      </w:r>
    </w:p>
    <w:p w14:paraId="1DF725BC" w14:textId="599BB2B6" w:rsidR="00B67C2A" w:rsidRDefault="00B91481" w:rsidP="00B86ACB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bCs/>
          <w:lang w:val="en-US"/>
        </w:rPr>
      </w:pPr>
      <w:r w:rsidRPr="00B91481">
        <w:rPr>
          <w:rFonts w:ascii="Calibri" w:hAnsi="Calibri" w:cs="Calibri"/>
          <w:bCs/>
          <w:lang w:val="en-US"/>
        </w:rPr>
        <w:t>Medical card queries accounted for 64.5% of all Health queries</w:t>
      </w:r>
      <w:r w:rsidR="007076F4">
        <w:rPr>
          <w:rFonts w:ascii="Calibri" w:hAnsi="Calibri" w:cs="Calibri"/>
          <w:bCs/>
          <w:lang w:val="en-US"/>
        </w:rPr>
        <w:t xml:space="preserve"> </w:t>
      </w:r>
      <w:r w:rsidRPr="00B91481">
        <w:rPr>
          <w:rFonts w:ascii="Calibri" w:hAnsi="Calibri" w:cs="Calibri"/>
          <w:bCs/>
          <w:lang w:val="en-US"/>
        </w:rPr>
        <w:t>(10,974 queries)</w:t>
      </w:r>
      <w:r w:rsidR="00FE1660">
        <w:rPr>
          <w:rFonts w:ascii="Calibri" w:hAnsi="Calibri" w:cs="Calibri"/>
          <w:bCs/>
          <w:lang w:val="en-US"/>
        </w:rPr>
        <w:t xml:space="preserve">, evidencing the continued importance of eligibility for </w:t>
      </w:r>
      <w:r w:rsidR="00A81735">
        <w:rPr>
          <w:rFonts w:ascii="Calibri" w:hAnsi="Calibri" w:cs="Calibri"/>
          <w:bCs/>
          <w:lang w:val="en-US"/>
        </w:rPr>
        <w:t xml:space="preserve">services, </w:t>
      </w:r>
      <w:r w:rsidR="00A81735" w:rsidRPr="00B91481">
        <w:rPr>
          <w:rFonts w:ascii="Calibri" w:hAnsi="Calibri" w:cs="Calibri"/>
          <w:bCs/>
          <w:lang w:val="en-US"/>
        </w:rPr>
        <w:t>and</w:t>
      </w:r>
      <w:r w:rsidRPr="00B91481">
        <w:rPr>
          <w:rFonts w:ascii="Calibri" w:hAnsi="Calibri" w:cs="Calibri"/>
          <w:bCs/>
          <w:lang w:val="en-US"/>
        </w:rPr>
        <w:t xml:space="preserve"> there was a 7.1% increase in the number based on the same quarter last year.</w:t>
      </w:r>
    </w:p>
    <w:p w14:paraId="21FDAEE4" w14:textId="5C5C3CF7" w:rsidR="00B91481" w:rsidRDefault="00B91481" w:rsidP="00B91481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Fair Deal &amp; Home Care Package queries decreased by 11.9% (1,004 queries).</w:t>
      </w:r>
    </w:p>
    <w:p w14:paraId="76495717" w14:textId="0CD1AC7E" w:rsidR="00B91481" w:rsidRPr="00B91481" w:rsidRDefault="00B91481" w:rsidP="00B91481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GP Services queries decreased by 35.5% (668 queries)</w:t>
      </w:r>
      <w:r w:rsidR="00673AF1">
        <w:rPr>
          <w:rFonts w:ascii="Calibri" w:hAnsi="Calibri" w:cs="Calibri"/>
          <w:bCs/>
          <w:lang w:val="en-US"/>
        </w:rPr>
        <w:t>.</w:t>
      </w:r>
    </w:p>
    <w:p w14:paraId="5B17CAEA" w14:textId="77777777" w:rsidR="00B67C2A" w:rsidRPr="000377CA" w:rsidRDefault="00B67C2A" w:rsidP="0020681F">
      <w:pPr>
        <w:rPr>
          <w:rFonts w:ascii="Calibri" w:hAnsi="Calibri" w:cs="Calibri"/>
          <w:lang w:val="en-US"/>
        </w:rPr>
      </w:pPr>
    </w:p>
    <w:p w14:paraId="6DC83E11" w14:textId="02487D6B" w:rsidR="00351D72" w:rsidRPr="00884628" w:rsidRDefault="0020681F" w:rsidP="00884628">
      <w:pPr>
        <w:spacing w:line="240" w:lineRule="auto"/>
        <w:rPr>
          <w:rFonts w:ascii="Calibri" w:hAnsi="Calibri" w:cs="Calibri"/>
          <w:bCs/>
          <w:lang w:val="en-US"/>
        </w:rPr>
      </w:pPr>
      <w:r w:rsidRPr="00B67C2A">
        <w:rPr>
          <w:rFonts w:ascii="Calibri" w:hAnsi="Calibri" w:cs="Calibri"/>
          <w:bCs/>
          <w:u w:val="single"/>
          <w:lang w:val="en-US"/>
        </w:rPr>
        <w:t xml:space="preserve">Caller </w:t>
      </w:r>
      <w:r w:rsidR="00797863" w:rsidRPr="00B67C2A">
        <w:rPr>
          <w:rFonts w:ascii="Calibri" w:hAnsi="Calibri" w:cs="Calibri"/>
          <w:bCs/>
          <w:u w:val="single"/>
          <w:lang w:val="en-US"/>
        </w:rPr>
        <w:t xml:space="preserve">profile </w:t>
      </w:r>
      <w:r w:rsidRPr="00B67C2A">
        <w:rPr>
          <w:rFonts w:ascii="Calibri" w:hAnsi="Calibri" w:cs="Calibri"/>
          <w:bCs/>
          <w:u w:val="single"/>
          <w:lang w:val="en-US"/>
        </w:rPr>
        <w:t>statistics relating to Health</w:t>
      </w:r>
      <w:r w:rsidRPr="00B67C2A">
        <w:rPr>
          <w:rFonts w:ascii="Calibri" w:hAnsi="Calibri" w:cs="Calibri"/>
          <w:bCs/>
          <w:lang w:val="en-US"/>
        </w:rPr>
        <w:t>.</w:t>
      </w:r>
    </w:p>
    <w:p w14:paraId="5E0B09A7" w14:textId="4384E544" w:rsidR="00B91481" w:rsidRPr="00673AF1" w:rsidRDefault="00B91481" w:rsidP="00B91481">
      <w:pPr>
        <w:pStyle w:val="ListParagraph"/>
        <w:numPr>
          <w:ilvl w:val="0"/>
          <w:numId w:val="6"/>
        </w:numPr>
        <w:spacing w:line="259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26-45, 46-65s and 66 and Overs </w:t>
      </w:r>
      <w:r w:rsidR="007076F4">
        <w:rPr>
          <w:rFonts w:ascii="Calibri" w:hAnsi="Calibri" w:cs="Calibri"/>
          <w:bCs/>
          <w:lang w:val="en-US"/>
        </w:rPr>
        <w:t xml:space="preserve">enquired </w:t>
      </w:r>
      <w:r>
        <w:rPr>
          <w:rFonts w:ascii="Calibri" w:hAnsi="Calibri" w:cs="Calibri"/>
          <w:bCs/>
          <w:lang w:val="en-US"/>
        </w:rPr>
        <w:t>about Medical Cards at almost the same rate (31.4%, 32.9% and 32.9% respectively).</w:t>
      </w:r>
    </w:p>
    <w:p w14:paraId="0D0A6A41" w14:textId="32001AEF" w:rsidR="00673AF1" w:rsidRPr="00673AF1" w:rsidRDefault="00673AF1" w:rsidP="00673AF1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The 46-65 age group called about Fair Deal &amp; Home Care Packages the most</w:t>
      </w:r>
      <w:r w:rsidR="007076F4">
        <w:rPr>
          <w:rFonts w:ascii="Calibri" w:hAnsi="Calibri" w:cs="Calibri"/>
          <w:bCs/>
          <w:lang w:val="en-US"/>
        </w:rPr>
        <w:t xml:space="preserve"> -</w:t>
      </w:r>
      <w:r>
        <w:rPr>
          <w:rFonts w:ascii="Calibri" w:hAnsi="Calibri" w:cs="Calibri"/>
          <w:bCs/>
          <w:lang w:val="en-US"/>
        </w:rPr>
        <w:t xml:space="preserve"> 44.1%, followed by the 66 and </w:t>
      </w:r>
      <w:r w:rsidR="007076F4">
        <w:rPr>
          <w:rFonts w:ascii="Calibri" w:hAnsi="Calibri" w:cs="Calibri"/>
          <w:bCs/>
          <w:lang w:val="en-US"/>
        </w:rPr>
        <w:t>o</w:t>
      </w:r>
      <w:r>
        <w:rPr>
          <w:rFonts w:ascii="Calibri" w:hAnsi="Calibri" w:cs="Calibri"/>
          <w:bCs/>
          <w:lang w:val="en-US"/>
        </w:rPr>
        <w:t>ver age cohort at 42.4%.</w:t>
      </w:r>
    </w:p>
    <w:p w14:paraId="608326BA" w14:textId="7E8C27D1" w:rsidR="00795A49" w:rsidRDefault="00673AF1" w:rsidP="001430A2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 w:rsidRPr="00795A49">
        <w:rPr>
          <w:rFonts w:ascii="Calibri" w:hAnsi="Calibri" w:cs="Calibri"/>
          <w:bCs/>
          <w:lang w:val="en-US"/>
        </w:rPr>
        <w:t>Those who called most about GP Services were the 46-65 age group</w:t>
      </w:r>
      <w:r w:rsidR="00412E64">
        <w:rPr>
          <w:rFonts w:ascii="Calibri" w:hAnsi="Calibri" w:cs="Calibri"/>
          <w:bCs/>
          <w:lang w:val="en-US"/>
        </w:rPr>
        <w:t xml:space="preserve"> (39.2%)</w:t>
      </w:r>
      <w:r w:rsidRPr="00795A49">
        <w:rPr>
          <w:rFonts w:ascii="Calibri" w:hAnsi="Calibri" w:cs="Calibri"/>
          <w:bCs/>
          <w:lang w:val="en-US"/>
        </w:rPr>
        <w:t>, followed closely by the 26-45 age cohort (38.8%)</w:t>
      </w:r>
      <w:r w:rsidR="00795A49" w:rsidRPr="00795A49">
        <w:rPr>
          <w:rFonts w:ascii="Calibri" w:hAnsi="Calibri" w:cs="Calibri"/>
          <w:bCs/>
          <w:lang w:val="en-US"/>
        </w:rPr>
        <w:t>.</w:t>
      </w:r>
    </w:p>
    <w:p w14:paraId="35B5DAC2" w14:textId="6DB02CF3" w:rsidR="00795A49" w:rsidRDefault="00795A49" w:rsidP="001430A2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39.9%</w:t>
      </w:r>
      <w:r w:rsidR="0049266B">
        <w:rPr>
          <w:rFonts w:ascii="Calibri" w:hAnsi="Calibri" w:cs="Calibri"/>
          <w:bCs/>
          <w:lang w:val="en-US"/>
        </w:rPr>
        <w:t xml:space="preserve"> of call</w:t>
      </w:r>
      <w:r w:rsidR="00884628">
        <w:rPr>
          <w:rFonts w:ascii="Calibri" w:hAnsi="Calibri" w:cs="Calibri"/>
          <w:bCs/>
          <w:lang w:val="en-US"/>
        </w:rPr>
        <w:t>er</w:t>
      </w:r>
      <w:r w:rsidR="0049266B">
        <w:rPr>
          <w:rFonts w:ascii="Calibri" w:hAnsi="Calibri" w:cs="Calibri"/>
          <w:bCs/>
          <w:lang w:val="en-US"/>
        </w:rPr>
        <w:t>s relating to Health lasted under 10 minutes, 38.2% of them lasted between 11-20 minutes.</w:t>
      </w:r>
    </w:p>
    <w:p w14:paraId="34CAD6FF" w14:textId="77777777" w:rsidR="00795A49" w:rsidRPr="00795A49" w:rsidRDefault="00795A49" w:rsidP="00795A49">
      <w:pPr>
        <w:pStyle w:val="ListParagraph"/>
        <w:rPr>
          <w:rFonts w:ascii="Calibri" w:hAnsi="Calibri" w:cs="Calibri"/>
          <w:bCs/>
          <w:lang w:val="en-US"/>
        </w:rPr>
      </w:pPr>
    </w:p>
    <w:p w14:paraId="6ABCB8FC" w14:textId="77777777" w:rsidR="00795A49" w:rsidRPr="00795A49" w:rsidRDefault="00795A49" w:rsidP="00795A49">
      <w:pPr>
        <w:ind w:left="360"/>
        <w:rPr>
          <w:rFonts w:ascii="Calibri" w:hAnsi="Calibri" w:cs="Calibri"/>
          <w:bCs/>
          <w:lang w:val="en-US"/>
        </w:rPr>
      </w:pPr>
    </w:p>
    <w:p w14:paraId="49278978" w14:textId="65119D52" w:rsidR="00795A49" w:rsidRPr="00795A49" w:rsidRDefault="00795A49" w:rsidP="00795A49">
      <w:pPr>
        <w:rPr>
          <w:rFonts w:ascii="Calibri" w:hAnsi="Calibri" w:cs="Calibri"/>
          <w:bCs/>
          <w:lang w:val="en-US"/>
        </w:rPr>
        <w:sectPr w:rsidR="00795A49" w:rsidRPr="00795A49" w:rsidSect="00681F13">
          <w:pgSz w:w="11906" w:h="16838"/>
          <w:pgMar w:top="1440" w:right="1440" w:bottom="1440" w:left="1134" w:header="709" w:footer="709" w:gutter="0"/>
          <w:cols w:space="708"/>
          <w:docGrid w:linePitch="360"/>
        </w:sectPr>
      </w:pPr>
    </w:p>
    <w:p w14:paraId="54410537" w14:textId="3F76E183" w:rsidR="000C6851" w:rsidRPr="00795A49" w:rsidRDefault="008839F4" w:rsidP="00795A49">
      <w:pPr>
        <w:pStyle w:val="Heading1"/>
        <w:rPr>
          <w:b/>
          <w:sz w:val="24"/>
          <w:szCs w:val="24"/>
        </w:rPr>
      </w:pPr>
      <w:r w:rsidRPr="00795A49">
        <w:rPr>
          <w:b/>
          <w:sz w:val="24"/>
          <w:szCs w:val="24"/>
        </w:rPr>
        <w:lastRenderedPageBreak/>
        <w:t xml:space="preserve">Table </w:t>
      </w:r>
      <w:r w:rsidR="00F84912" w:rsidRPr="00795A49">
        <w:rPr>
          <w:b/>
          <w:sz w:val="24"/>
          <w:szCs w:val="24"/>
        </w:rPr>
        <w:t>1</w:t>
      </w:r>
      <w:r w:rsidR="003D0788">
        <w:rPr>
          <w:b/>
          <w:sz w:val="24"/>
          <w:szCs w:val="24"/>
        </w:rPr>
        <w:t>3</w:t>
      </w:r>
      <w:r w:rsidRPr="00795A49">
        <w:rPr>
          <w:b/>
          <w:sz w:val="24"/>
          <w:szCs w:val="24"/>
        </w:rPr>
        <w:t>- Health</w:t>
      </w:r>
      <w:r w:rsidR="00B60276" w:rsidRPr="00795A49">
        <w:rPr>
          <w:b/>
          <w:sz w:val="24"/>
          <w:szCs w:val="24"/>
        </w:rPr>
        <w:t xml:space="preserve"> Query Breakdown</w:t>
      </w:r>
      <w:r w:rsidR="00480671" w:rsidRPr="00795A49">
        <w:rPr>
          <w:b/>
          <w:sz w:val="24"/>
          <w:szCs w:val="24"/>
        </w:rPr>
        <w:t>, Q1</w:t>
      </w:r>
      <w:r w:rsidRPr="00795A49">
        <w:rPr>
          <w:b/>
          <w:sz w:val="24"/>
          <w:szCs w:val="24"/>
        </w:rPr>
        <w:t xml:space="preserve"> 202</w:t>
      </w:r>
      <w:r w:rsidR="00F7078F" w:rsidRPr="00795A49">
        <w:rPr>
          <w:b/>
          <w:sz w:val="24"/>
          <w:szCs w:val="24"/>
        </w:rPr>
        <w:t>4</w:t>
      </w:r>
    </w:p>
    <w:tbl>
      <w:tblPr>
        <w:tblStyle w:val="GridTable5Dark-Accent6"/>
        <w:tblW w:w="13482" w:type="dxa"/>
        <w:tblLook w:val="04A0" w:firstRow="1" w:lastRow="0" w:firstColumn="1" w:lastColumn="0" w:noHBand="0" w:noVBand="1"/>
      </w:tblPr>
      <w:tblGrid>
        <w:gridCol w:w="1615"/>
        <w:gridCol w:w="4115"/>
        <w:gridCol w:w="4933"/>
        <w:gridCol w:w="1336"/>
        <w:gridCol w:w="1483"/>
      </w:tblGrid>
      <w:tr w:rsidR="005A3512" w:rsidRPr="00966547" w14:paraId="219A794C" w14:textId="77777777" w:rsidTr="002E3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39397BC0" w14:textId="77777777" w:rsidR="00966547" w:rsidRPr="00966547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4115" w:type="dxa"/>
            <w:hideMark/>
          </w:tcPr>
          <w:p w14:paraId="6D4D4140" w14:textId="77777777" w:rsidR="00966547" w:rsidRPr="00966547" w:rsidRDefault="00966547" w:rsidP="0096654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4933" w:type="dxa"/>
            <w:hideMark/>
          </w:tcPr>
          <w:p w14:paraId="47CD1F8C" w14:textId="0D8EA801" w:rsidR="00966547" w:rsidRPr="00966547" w:rsidRDefault="00966547" w:rsidP="0096654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Q1, 202</w:t>
            </w:r>
            <w:r w:rsidR="00F707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4</w:t>
            </w:r>
            <w:r w:rsidRPr="009665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1336" w:type="dxa"/>
            <w:hideMark/>
          </w:tcPr>
          <w:p w14:paraId="23401BE5" w14:textId="77777777" w:rsidR="00966547" w:rsidRPr="00966547" w:rsidRDefault="00966547" w:rsidP="0096654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1483" w:type="dxa"/>
            <w:hideMark/>
          </w:tcPr>
          <w:p w14:paraId="6D7AF874" w14:textId="77777777" w:rsidR="00966547" w:rsidRPr="00966547" w:rsidRDefault="00966547" w:rsidP="0096654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% of Health Sub-category</w:t>
            </w:r>
          </w:p>
        </w:tc>
      </w:tr>
      <w:tr w:rsidR="005A3512" w:rsidRPr="00966547" w14:paraId="0DFF118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6468665E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142C2195" w14:textId="77777777" w:rsidR="00966547" w:rsidRPr="00371F53" w:rsidRDefault="00966547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4933" w:type="dxa"/>
            <w:noWrap/>
            <w:hideMark/>
          </w:tcPr>
          <w:p w14:paraId="7C110726" w14:textId="77777777" w:rsidR="00966547" w:rsidRPr="007572B3" w:rsidRDefault="00966547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1336" w:type="dxa"/>
            <w:noWrap/>
            <w:hideMark/>
          </w:tcPr>
          <w:p w14:paraId="344C3B96" w14:textId="0257CCCA" w:rsidR="00966547" w:rsidRPr="003128CB" w:rsidRDefault="00333C4F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10,</w:t>
            </w:r>
            <w:r w:rsidR="00F70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974</w:t>
            </w:r>
          </w:p>
        </w:tc>
        <w:tc>
          <w:tcPr>
            <w:tcW w:w="1483" w:type="dxa"/>
            <w:noWrap/>
            <w:hideMark/>
          </w:tcPr>
          <w:p w14:paraId="6B96A9DA" w14:textId="20DD5D16" w:rsidR="00966547" w:rsidRPr="00371F53" w:rsidRDefault="00333C4F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</w:t>
            </w:r>
            <w:r w:rsidR="00F70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4.5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5A3512" w:rsidRPr="00966547" w14:paraId="3518BC16" w14:textId="77777777" w:rsidTr="002E38D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536F80FD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77B4471F" w14:textId="77777777" w:rsidR="00966547" w:rsidRPr="00371F53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4933" w:type="dxa"/>
            <w:noWrap/>
            <w:hideMark/>
          </w:tcPr>
          <w:p w14:paraId="5A195F9B" w14:textId="77777777" w:rsidR="00966547" w:rsidRPr="007572B3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1336" w:type="dxa"/>
            <w:noWrap/>
            <w:hideMark/>
          </w:tcPr>
          <w:p w14:paraId="1A759427" w14:textId="011606CB" w:rsidR="00966547" w:rsidRPr="003128CB" w:rsidRDefault="00333C4F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</w:t>
            </w:r>
            <w:r w:rsidR="00F70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004</w:t>
            </w:r>
          </w:p>
        </w:tc>
        <w:tc>
          <w:tcPr>
            <w:tcW w:w="1483" w:type="dxa"/>
            <w:noWrap/>
            <w:hideMark/>
          </w:tcPr>
          <w:p w14:paraId="2BC163A7" w14:textId="78CFE155" w:rsidR="00966547" w:rsidRPr="00371F53" w:rsidRDefault="00966547" w:rsidP="00333C4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  <w:r w:rsidR="00F70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</w:t>
            </w:r>
            <w:r w:rsidR="00333C4F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.9%</w:t>
            </w:r>
          </w:p>
        </w:tc>
      </w:tr>
      <w:tr w:rsidR="00F7078F" w:rsidRPr="00966547" w14:paraId="30662D8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38C2A138" w14:textId="74C851A1" w:rsidR="00F7078F" w:rsidRPr="00371F53" w:rsidRDefault="00F7078F" w:rsidP="00F707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1DAFAA7A" w14:textId="43F08274" w:rsidR="00F7078F" w:rsidRPr="00371F53" w:rsidRDefault="00F7078F" w:rsidP="00F707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4933" w:type="dxa"/>
            <w:noWrap/>
          </w:tcPr>
          <w:p w14:paraId="772BC895" w14:textId="7CC96471" w:rsidR="00F7078F" w:rsidRPr="007572B3" w:rsidRDefault="00F7078F" w:rsidP="00F707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336" w:type="dxa"/>
            <w:noWrap/>
          </w:tcPr>
          <w:p w14:paraId="65BAFA28" w14:textId="08A2B297" w:rsidR="00F7078F" w:rsidRPr="003128CB" w:rsidRDefault="00F7078F" w:rsidP="00F7078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746</w:t>
            </w:r>
          </w:p>
        </w:tc>
        <w:tc>
          <w:tcPr>
            <w:tcW w:w="1483" w:type="dxa"/>
            <w:noWrap/>
          </w:tcPr>
          <w:p w14:paraId="511BBE73" w14:textId="204CBD55" w:rsidR="00F7078F" w:rsidRPr="00371F53" w:rsidRDefault="00F7078F" w:rsidP="00F7078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4.4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 </w:t>
            </w:r>
          </w:p>
        </w:tc>
      </w:tr>
      <w:tr w:rsidR="005A3512" w:rsidRPr="00966547" w14:paraId="6AC46733" w14:textId="77777777" w:rsidTr="002E38D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6D0C6926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102AD4EA" w14:textId="77777777" w:rsidR="00966547" w:rsidRPr="00371F53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4933" w:type="dxa"/>
            <w:noWrap/>
            <w:hideMark/>
          </w:tcPr>
          <w:p w14:paraId="5636BD18" w14:textId="77777777" w:rsidR="00966547" w:rsidRPr="007572B3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1336" w:type="dxa"/>
            <w:noWrap/>
            <w:hideMark/>
          </w:tcPr>
          <w:p w14:paraId="0D012261" w14:textId="39A4F158" w:rsidR="00966547" w:rsidRPr="003128CB" w:rsidRDefault="00F7078F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668</w:t>
            </w:r>
          </w:p>
        </w:tc>
        <w:tc>
          <w:tcPr>
            <w:tcW w:w="1483" w:type="dxa"/>
            <w:noWrap/>
            <w:hideMark/>
          </w:tcPr>
          <w:p w14:paraId="7F90A2D9" w14:textId="3AA7BDFF" w:rsidR="00966547" w:rsidRPr="00371F53" w:rsidRDefault="00F7078F" w:rsidP="00371F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3.9</w:t>
            </w:r>
            <w:r w:rsidR="00333C4F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  <w:r w:rsidR="00966547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A06D9C" w:rsidRPr="00966547" w14:paraId="0F71B455" w14:textId="77777777" w:rsidTr="00C82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2" w:type="dxa"/>
            <w:gridSpan w:val="5"/>
            <w:noWrap/>
          </w:tcPr>
          <w:p w14:paraId="3ED86A45" w14:textId="3E56E49E" w:rsidR="00A06D9C" w:rsidRPr="00076968" w:rsidRDefault="00A06D9C" w:rsidP="00A06D9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76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Drugs / Medicines</w:t>
            </w:r>
          </w:p>
        </w:tc>
      </w:tr>
      <w:tr w:rsidR="005A3512" w:rsidRPr="00966547" w14:paraId="0AFD010B" w14:textId="77777777" w:rsidTr="002E38D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07AF7AAC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7201BCAC" w14:textId="77777777" w:rsidR="00966547" w:rsidRPr="009C33A2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C3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Drugs/Medicines</w:t>
            </w:r>
          </w:p>
        </w:tc>
        <w:tc>
          <w:tcPr>
            <w:tcW w:w="4933" w:type="dxa"/>
            <w:noWrap/>
            <w:hideMark/>
          </w:tcPr>
          <w:p w14:paraId="47B0086C" w14:textId="77777777" w:rsidR="00966547" w:rsidRPr="007572B3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Drugs Payment Scheme</w:t>
            </w:r>
          </w:p>
        </w:tc>
        <w:tc>
          <w:tcPr>
            <w:tcW w:w="1336" w:type="dxa"/>
            <w:noWrap/>
            <w:hideMark/>
          </w:tcPr>
          <w:p w14:paraId="473FED7A" w14:textId="2D3B51A9" w:rsidR="00966547" w:rsidRPr="00F7078F" w:rsidRDefault="00F7078F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70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363</w:t>
            </w:r>
          </w:p>
        </w:tc>
        <w:tc>
          <w:tcPr>
            <w:tcW w:w="1483" w:type="dxa"/>
            <w:noWrap/>
            <w:hideMark/>
          </w:tcPr>
          <w:p w14:paraId="7A863DC7" w14:textId="0FD8522B" w:rsidR="00966547" w:rsidRPr="003D77C9" w:rsidRDefault="00966547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n-IE"/>
              </w:rPr>
            </w:pPr>
          </w:p>
        </w:tc>
      </w:tr>
      <w:tr w:rsidR="005A3512" w:rsidRPr="00966547" w14:paraId="043F95F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271DBF51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3B41425E" w14:textId="450DB597" w:rsidR="00966547" w:rsidRPr="009C33A2" w:rsidRDefault="00966547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C3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519BF5FA" w14:textId="77777777" w:rsidR="00966547" w:rsidRPr="007572B3" w:rsidRDefault="00966547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Long-term Illness Scheme</w:t>
            </w:r>
          </w:p>
        </w:tc>
        <w:tc>
          <w:tcPr>
            <w:tcW w:w="1336" w:type="dxa"/>
            <w:noWrap/>
            <w:hideMark/>
          </w:tcPr>
          <w:p w14:paraId="67384BE3" w14:textId="6320B29C" w:rsidR="00966547" w:rsidRPr="003128CB" w:rsidRDefault="00F7078F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167</w:t>
            </w:r>
          </w:p>
        </w:tc>
        <w:tc>
          <w:tcPr>
            <w:tcW w:w="1483" w:type="dxa"/>
            <w:noWrap/>
            <w:hideMark/>
          </w:tcPr>
          <w:p w14:paraId="75C43C06" w14:textId="7FFC33A8" w:rsidR="00966547" w:rsidRPr="003D77C9" w:rsidRDefault="00966547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n-IE"/>
              </w:rPr>
            </w:pPr>
          </w:p>
        </w:tc>
      </w:tr>
      <w:tr w:rsidR="00A06D9C" w:rsidRPr="00966547" w14:paraId="26EB52FE" w14:textId="77777777" w:rsidTr="002E38D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04804FA2" w14:textId="77777777" w:rsidR="00A06D9C" w:rsidRPr="00371F53" w:rsidRDefault="00A06D9C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15" w:type="dxa"/>
            <w:noWrap/>
          </w:tcPr>
          <w:p w14:paraId="497BAAA1" w14:textId="77777777" w:rsidR="00A06D9C" w:rsidRPr="00371F53" w:rsidRDefault="00A06D9C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33" w:type="dxa"/>
            <w:noWrap/>
          </w:tcPr>
          <w:p w14:paraId="284DC5D8" w14:textId="46A0F56B" w:rsidR="00A06D9C" w:rsidRPr="001F64A6" w:rsidRDefault="00A06D9C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F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noWrap/>
          </w:tcPr>
          <w:p w14:paraId="4AABC3C3" w14:textId="0254547F" w:rsidR="00A06D9C" w:rsidRPr="003128CB" w:rsidRDefault="00F7078F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530</w:t>
            </w:r>
          </w:p>
        </w:tc>
        <w:tc>
          <w:tcPr>
            <w:tcW w:w="1483" w:type="dxa"/>
            <w:noWrap/>
          </w:tcPr>
          <w:p w14:paraId="3A81F6F1" w14:textId="59117999" w:rsidR="00A06D9C" w:rsidRPr="00371F53" w:rsidRDefault="00F7078F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3.1</w:t>
            </w:r>
            <w:r w:rsidR="00A06D9C" w:rsidRPr="009C3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15BD2" w:rsidRPr="00966547" w14:paraId="7611AFD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3125A86F" w14:textId="4A59A40C" w:rsidR="00C15BD2" w:rsidRPr="00371F53" w:rsidRDefault="00C15BD2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0CBB6718" w14:textId="63783A57" w:rsidR="00C15BD2" w:rsidRPr="00371F53" w:rsidRDefault="00C15BD2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GP Visit Card</w:t>
            </w:r>
          </w:p>
        </w:tc>
        <w:tc>
          <w:tcPr>
            <w:tcW w:w="4933" w:type="dxa"/>
            <w:noWrap/>
          </w:tcPr>
          <w:p w14:paraId="0C6EC31D" w14:textId="53BD5C63" w:rsidR="00C15BD2" w:rsidRPr="00C15BD2" w:rsidRDefault="00C15BD2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C15BD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GP Visit Card</w:t>
            </w:r>
          </w:p>
        </w:tc>
        <w:tc>
          <w:tcPr>
            <w:tcW w:w="1336" w:type="dxa"/>
            <w:noWrap/>
          </w:tcPr>
          <w:p w14:paraId="103FD647" w14:textId="0B465015" w:rsidR="00C15BD2" w:rsidRDefault="00C15BD2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497</w:t>
            </w:r>
          </w:p>
        </w:tc>
        <w:tc>
          <w:tcPr>
            <w:tcW w:w="1483" w:type="dxa"/>
            <w:noWrap/>
          </w:tcPr>
          <w:p w14:paraId="7C0C11BE" w14:textId="541FBC07" w:rsidR="00C15BD2" w:rsidRDefault="00C15BD2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2.9%</w:t>
            </w:r>
          </w:p>
        </w:tc>
      </w:tr>
      <w:tr w:rsidR="00C15BD2" w:rsidRPr="00966547" w14:paraId="08B8DC36" w14:textId="77777777" w:rsidTr="002E38D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516AD579" w14:textId="76423F41" w:rsidR="00C15BD2" w:rsidRPr="00371F53" w:rsidRDefault="00C15BD2" w:rsidP="00C15BD2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0A8C5ED3" w14:textId="6681A0AA" w:rsidR="00C15BD2" w:rsidRDefault="00C15BD2" w:rsidP="00C15BD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4933" w:type="dxa"/>
            <w:noWrap/>
          </w:tcPr>
          <w:p w14:paraId="461E6C4A" w14:textId="15FD83EF" w:rsidR="00C15BD2" w:rsidRPr="00C15BD2" w:rsidRDefault="00C15BD2" w:rsidP="00C15BD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1336" w:type="dxa"/>
            <w:noWrap/>
          </w:tcPr>
          <w:p w14:paraId="182D3019" w14:textId="5D300B21" w:rsidR="00C15BD2" w:rsidRDefault="00C15BD2" w:rsidP="00C15BD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308</w:t>
            </w:r>
          </w:p>
        </w:tc>
        <w:tc>
          <w:tcPr>
            <w:tcW w:w="1483" w:type="dxa"/>
            <w:noWrap/>
          </w:tcPr>
          <w:p w14:paraId="189AE110" w14:textId="7148C2E3" w:rsidR="00C15BD2" w:rsidRDefault="00C15BD2" w:rsidP="00C15BD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5A3512" w:rsidRPr="00966547" w14:paraId="2314596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117800A0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43BCB8C4" w14:textId="1E84D694" w:rsidR="00966547" w:rsidRPr="00371F5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4933" w:type="dxa"/>
            <w:noWrap/>
            <w:hideMark/>
          </w:tcPr>
          <w:p w14:paraId="3A090B59" w14:textId="56EA99C3" w:rsidR="00966547" w:rsidRPr="007572B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1336" w:type="dxa"/>
            <w:noWrap/>
            <w:hideMark/>
          </w:tcPr>
          <w:p w14:paraId="08052E80" w14:textId="4AB18E3D" w:rsidR="00966547" w:rsidRPr="003128CB" w:rsidRDefault="00966547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C15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03</w:t>
            </w:r>
          </w:p>
        </w:tc>
        <w:tc>
          <w:tcPr>
            <w:tcW w:w="1483" w:type="dxa"/>
            <w:noWrap/>
            <w:hideMark/>
          </w:tcPr>
          <w:p w14:paraId="49D59DD2" w14:textId="17D2ECAF" w:rsidR="00966547" w:rsidRPr="00371F53" w:rsidRDefault="00C15BD2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1.8</w:t>
            </w:r>
            <w:r w:rsidR="00371F53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15BD2" w:rsidRPr="00966547" w14:paraId="012669CB" w14:textId="77777777" w:rsidTr="002E38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48E5CDD7" w14:textId="214F28A0" w:rsidR="00C15BD2" w:rsidRPr="00371F53" w:rsidRDefault="00C15BD2" w:rsidP="00C15BD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331690F1" w14:textId="74D65478" w:rsidR="00C15BD2" w:rsidRPr="00371F53" w:rsidRDefault="00C15BD2" w:rsidP="00C15BD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4933" w:type="dxa"/>
            <w:noWrap/>
          </w:tcPr>
          <w:p w14:paraId="03C32D3E" w14:textId="5D737155" w:rsidR="00C15BD2" w:rsidRPr="007572B3" w:rsidRDefault="00C15BD2" w:rsidP="00C15BD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1336" w:type="dxa"/>
            <w:noWrap/>
          </w:tcPr>
          <w:p w14:paraId="71AB6622" w14:textId="6FCAC879" w:rsidR="00C15BD2" w:rsidRPr="003128CB" w:rsidRDefault="00C15BD2" w:rsidP="00C15BD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273</w:t>
            </w:r>
          </w:p>
        </w:tc>
        <w:tc>
          <w:tcPr>
            <w:tcW w:w="1483" w:type="dxa"/>
            <w:noWrap/>
          </w:tcPr>
          <w:p w14:paraId="577A128C" w14:textId="77C5459C" w:rsidR="00C15BD2" w:rsidRPr="00371F53" w:rsidRDefault="00C15BD2" w:rsidP="00351D7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 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5A3512" w:rsidRPr="00966547" w14:paraId="1990AFC1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48960CDB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3F77FF3B" w14:textId="00869068" w:rsidR="00966547" w:rsidRPr="00371F5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4933" w:type="dxa"/>
            <w:noWrap/>
            <w:hideMark/>
          </w:tcPr>
          <w:p w14:paraId="798753D2" w14:textId="029F264A" w:rsidR="00966547" w:rsidRPr="007572B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1336" w:type="dxa"/>
            <w:noWrap/>
            <w:hideMark/>
          </w:tcPr>
          <w:p w14:paraId="57A793E0" w14:textId="027C7DC4" w:rsidR="00966547" w:rsidRPr="003128CB" w:rsidRDefault="00C15BD2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253</w:t>
            </w:r>
          </w:p>
        </w:tc>
        <w:tc>
          <w:tcPr>
            <w:tcW w:w="1483" w:type="dxa"/>
            <w:noWrap/>
            <w:hideMark/>
          </w:tcPr>
          <w:p w14:paraId="52E0EA7D" w14:textId="54E3ADC0" w:rsidR="00966547" w:rsidRPr="00371F53" w:rsidRDefault="00966547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371F53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.</w:t>
            </w:r>
            <w:r w:rsidR="00C15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351D72" w:rsidRPr="00966547" w14:paraId="75A50FB3" w14:textId="77777777" w:rsidTr="00C15BD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010B3E43" w14:textId="015E5D9D" w:rsidR="00351D72" w:rsidRPr="00371F53" w:rsidRDefault="00351D72" w:rsidP="00351D72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27602F23" w14:textId="1C39FE1E" w:rsidR="00351D72" w:rsidRPr="00371F53" w:rsidRDefault="00351D72" w:rsidP="00351D7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4933" w:type="dxa"/>
            <w:noWrap/>
          </w:tcPr>
          <w:p w14:paraId="2FFD1E4B" w14:textId="77D69392" w:rsidR="00351D72" w:rsidRPr="007572B3" w:rsidRDefault="00351D72" w:rsidP="00351D7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1336" w:type="dxa"/>
            <w:noWrap/>
          </w:tcPr>
          <w:p w14:paraId="1C7FFAA7" w14:textId="286DF316" w:rsidR="00351D72" w:rsidRPr="003128CB" w:rsidRDefault="00351D72" w:rsidP="00351D7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1483" w:type="dxa"/>
            <w:noWrap/>
          </w:tcPr>
          <w:p w14:paraId="74BF9ADD" w14:textId="534952D2" w:rsidR="00351D72" w:rsidRPr="00371F53" w:rsidRDefault="00351D72" w:rsidP="00351D7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1.3%</w:t>
            </w:r>
          </w:p>
        </w:tc>
      </w:tr>
      <w:tr w:rsidR="005A3512" w:rsidRPr="00966547" w14:paraId="3C04AF71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40B7BC57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63C1270D" w14:textId="49811CD2" w:rsidR="00966547" w:rsidRPr="00371F5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4933" w:type="dxa"/>
            <w:noWrap/>
            <w:hideMark/>
          </w:tcPr>
          <w:p w14:paraId="04040893" w14:textId="105E87DA" w:rsidR="00966547" w:rsidRPr="007572B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1336" w:type="dxa"/>
            <w:noWrap/>
            <w:hideMark/>
          </w:tcPr>
          <w:p w14:paraId="29C9A3A1" w14:textId="76932009" w:rsidR="00966547" w:rsidRPr="003128CB" w:rsidRDefault="00966547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351D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1483" w:type="dxa"/>
            <w:noWrap/>
            <w:hideMark/>
          </w:tcPr>
          <w:p w14:paraId="3797221E" w14:textId="24A49743" w:rsidR="00966547" w:rsidRPr="00371F53" w:rsidRDefault="00966547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371F53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.</w:t>
            </w:r>
            <w:r w:rsidR="00351D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371F53" w:rsidRPr="00966547" w14:paraId="38EC1C9F" w14:textId="77777777" w:rsidTr="002E38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1138EAE5" w14:textId="77777777" w:rsidR="00371F53" w:rsidRPr="00371F53" w:rsidRDefault="00371F53" w:rsidP="00371F5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4F981BA5" w14:textId="2CAF8EE1" w:rsidR="00371F53" w:rsidRPr="00371F53" w:rsidRDefault="00371F53" w:rsidP="00371F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4933" w:type="dxa"/>
            <w:noWrap/>
            <w:hideMark/>
          </w:tcPr>
          <w:p w14:paraId="19697B96" w14:textId="08150C62" w:rsidR="00371F53" w:rsidRPr="007572B3" w:rsidRDefault="00371F53" w:rsidP="00371F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1336" w:type="dxa"/>
            <w:noWrap/>
            <w:hideMark/>
          </w:tcPr>
          <w:p w14:paraId="7EB6D985" w14:textId="71C88712" w:rsidR="00371F53" w:rsidRPr="003128CB" w:rsidRDefault="00371F53" w:rsidP="00371F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351D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483" w:type="dxa"/>
            <w:noWrap/>
            <w:hideMark/>
          </w:tcPr>
          <w:p w14:paraId="47C3ADB7" w14:textId="5FCA8F51" w:rsidR="00371F53" w:rsidRPr="00371F53" w:rsidRDefault="00371F53" w:rsidP="00371F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1.</w:t>
            </w:r>
            <w:r w:rsidR="00351D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351D72" w:rsidRPr="00966547" w14:paraId="3D4B6F4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5FE6DF2E" w14:textId="6B719884" w:rsidR="00270733" w:rsidRPr="00371F53" w:rsidRDefault="00270733" w:rsidP="0027073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370CCE24" w14:textId="676CCDDD" w:rsidR="00270733" w:rsidRPr="00371F53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Legal Matters and Health</w:t>
            </w:r>
          </w:p>
        </w:tc>
        <w:tc>
          <w:tcPr>
            <w:tcW w:w="4933" w:type="dxa"/>
            <w:noWrap/>
          </w:tcPr>
          <w:p w14:paraId="014CFA2C" w14:textId="784DD18D" w:rsidR="00270733" w:rsidRPr="007572B3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Legal Matters and Health</w:t>
            </w:r>
          </w:p>
        </w:tc>
        <w:tc>
          <w:tcPr>
            <w:tcW w:w="1336" w:type="dxa"/>
            <w:noWrap/>
          </w:tcPr>
          <w:p w14:paraId="01261B37" w14:textId="4DD0DA3D" w:rsidR="00270733" w:rsidRPr="003128CB" w:rsidRDefault="00270733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351D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37</w:t>
            </w:r>
          </w:p>
        </w:tc>
        <w:tc>
          <w:tcPr>
            <w:tcW w:w="1483" w:type="dxa"/>
            <w:noWrap/>
          </w:tcPr>
          <w:p w14:paraId="2DEECD6C" w14:textId="2401D4D0" w:rsidR="00270733" w:rsidRPr="00371F53" w:rsidRDefault="00270733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0.</w:t>
            </w:r>
            <w:r w:rsidR="00351D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351D72" w:rsidRPr="00966547" w14:paraId="297E03A2" w14:textId="77777777" w:rsidTr="002E38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695924DC" w14:textId="79310653" w:rsidR="00351D72" w:rsidRPr="00371F53" w:rsidRDefault="00351D72" w:rsidP="00351D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1BE7FA38" w14:textId="68CCA732" w:rsidR="00351D72" w:rsidRDefault="00351D72" w:rsidP="00351D7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 Health</w:t>
            </w:r>
          </w:p>
        </w:tc>
        <w:tc>
          <w:tcPr>
            <w:tcW w:w="4933" w:type="dxa"/>
            <w:noWrap/>
          </w:tcPr>
          <w:p w14:paraId="2D76F835" w14:textId="0E370B8C" w:rsidR="00351D72" w:rsidRPr="007572B3" w:rsidRDefault="00351D72" w:rsidP="00351D7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Childrens Health</w:t>
            </w:r>
          </w:p>
        </w:tc>
        <w:tc>
          <w:tcPr>
            <w:tcW w:w="1336" w:type="dxa"/>
            <w:noWrap/>
          </w:tcPr>
          <w:p w14:paraId="481CD621" w14:textId="5DF86F0B" w:rsidR="00351D72" w:rsidRPr="003128CB" w:rsidRDefault="00351D72" w:rsidP="00351D7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1483" w:type="dxa"/>
            <w:noWrap/>
          </w:tcPr>
          <w:p w14:paraId="154F97C4" w14:textId="1BEAEF49" w:rsidR="00351D72" w:rsidRDefault="00351D72" w:rsidP="00351D7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0.7%</w:t>
            </w:r>
          </w:p>
        </w:tc>
      </w:tr>
      <w:tr w:rsidR="00351D72" w:rsidRPr="00966547" w14:paraId="74F8A0AC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7AA154D0" w14:textId="7FF4E2C8" w:rsidR="00270733" w:rsidRPr="00371F53" w:rsidRDefault="00270733" w:rsidP="0027073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1A3FB2C4" w14:textId="567E1727" w:rsidR="00270733" w:rsidRPr="00371F53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Health Insurance</w:t>
            </w:r>
          </w:p>
        </w:tc>
        <w:tc>
          <w:tcPr>
            <w:tcW w:w="4933" w:type="dxa"/>
            <w:noWrap/>
          </w:tcPr>
          <w:p w14:paraId="18B9BEC8" w14:textId="4228D703" w:rsidR="00270733" w:rsidRPr="007572B3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Health Insurance</w:t>
            </w:r>
          </w:p>
        </w:tc>
        <w:tc>
          <w:tcPr>
            <w:tcW w:w="1336" w:type="dxa"/>
            <w:noWrap/>
          </w:tcPr>
          <w:p w14:paraId="28D8AD43" w14:textId="23A78907" w:rsidR="00270733" w:rsidRPr="003128CB" w:rsidRDefault="00270733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</w:t>
            </w:r>
            <w:r w:rsidR="00351D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1483" w:type="dxa"/>
            <w:noWrap/>
          </w:tcPr>
          <w:p w14:paraId="1B7BBC6F" w14:textId="60A33252" w:rsidR="00270733" w:rsidRPr="00371F53" w:rsidRDefault="00270733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0.</w:t>
            </w:r>
            <w:r w:rsidR="00351D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966547" w:rsidRPr="00966547" w14:paraId="58E0AB62" w14:textId="77777777" w:rsidTr="002E38D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2" w:type="dxa"/>
            <w:gridSpan w:val="5"/>
            <w:noWrap/>
            <w:hideMark/>
          </w:tcPr>
          <w:p w14:paraId="7A3185A3" w14:textId="1488CD08" w:rsidR="00966547" w:rsidRPr="00966547" w:rsidRDefault="00966547" w:rsidP="00966547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All other sub-categories (&lt;100 </w:t>
            </w:r>
            <w:r w:rsidR="00270733" w:rsidRPr="00966547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queries) *</w:t>
            </w:r>
          </w:p>
        </w:tc>
      </w:tr>
      <w:tr w:rsidR="00351D72" w:rsidRPr="00966547" w14:paraId="4FE32C5E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3E1BC178" w14:textId="45746CD1" w:rsidR="00270733" w:rsidRPr="00966547" w:rsidRDefault="00270733" w:rsidP="0027073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49D9DD87" w14:textId="77777777" w:rsidR="00270733" w:rsidRPr="00966547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46146214" w14:textId="77777777" w:rsidR="00270733" w:rsidRPr="00966547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1336" w:type="dxa"/>
            <w:noWrap/>
            <w:hideMark/>
          </w:tcPr>
          <w:p w14:paraId="17037189" w14:textId="3A06B42C" w:rsidR="00270733" w:rsidRPr="00966547" w:rsidRDefault="00351D72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448</w:t>
            </w:r>
          </w:p>
        </w:tc>
        <w:tc>
          <w:tcPr>
            <w:tcW w:w="1483" w:type="dxa"/>
            <w:noWrap/>
            <w:hideMark/>
          </w:tcPr>
          <w:p w14:paraId="7A274731" w14:textId="0AB536D8" w:rsidR="00270733" w:rsidRPr="00966547" w:rsidRDefault="00270733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351D72" w:rsidRPr="00966547" w14:paraId="1A1916BA" w14:textId="77777777" w:rsidTr="002E38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5929FEDE" w14:textId="17AE6809" w:rsidR="00270733" w:rsidRPr="00966547" w:rsidRDefault="00270733" w:rsidP="0027073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3B2379FE" w14:textId="77777777" w:rsidR="00270733" w:rsidRPr="00966547" w:rsidRDefault="00270733" w:rsidP="002707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5B0BDBF7" w14:textId="77777777" w:rsidR="00270733" w:rsidRPr="00966547" w:rsidRDefault="00270733" w:rsidP="002707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noWrap/>
            <w:hideMark/>
          </w:tcPr>
          <w:p w14:paraId="710272A3" w14:textId="25640F8C" w:rsidR="00270733" w:rsidRPr="00966547" w:rsidRDefault="00351D72" w:rsidP="0027073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448</w:t>
            </w:r>
          </w:p>
        </w:tc>
        <w:tc>
          <w:tcPr>
            <w:tcW w:w="1483" w:type="dxa"/>
            <w:noWrap/>
            <w:hideMark/>
          </w:tcPr>
          <w:p w14:paraId="05F4C43D" w14:textId="6505ACCC" w:rsidR="00270733" w:rsidRPr="00966547" w:rsidRDefault="00270733" w:rsidP="0027073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351D72" w:rsidRPr="00966547" w14:paraId="2967B20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4F89AABF" w14:textId="77777777" w:rsidR="00270733" w:rsidRPr="00966547" w:rsidRDefault="00270733" w:rsidP="00270733">
            <w:pPr>
              <w:spacing w:line="240" w:lineRule="auto"/>
              <w:rPr>
                <w:rFonts w:ascii="Tw Cen MT" w:eastAsia="Times New Roman" w:hAnsi="Tw Cen MT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noWrap/>
            <w:hideMark/>
          </w:tcPr>
          <w:p w14:paraId="6F683EAB" w14:textId="77777777" w:rsidR="00270733" w:rsidRPr="00966547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0D392BCC" w14:textId="77777777" w:rsidR="00270733" w:rsidRPr="00966547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 Health Queries</w:t>
            </w:r>
          </w:p>
        </w:tc>
        <w:tc>
          <w:tcPr>
            <w:tcW w:w="1336" w:type="dxa"/>
            <w:noWrap/>
            <w:hideMark/>
          </w:tcPr>
          <w:p w14:paraId="6551E662" w14:textId="2FD12971" w:rsidR="00270733" w:rsidRPr="00966547" w:rsidRDefault="00270733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</w:t>
            </w:r>
            <w:r w:rsidR="00351D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7,019</w:t>
            </w:r>
          </w:p>
        </w:tc>
        <w:tc>
          <w:tcPr>
            <w:tcW w:w="1483" w:type="dxa"/>
            <w:noWrap/>
            <w:hideMark/>
          </w:tcPr>
          <w:p w14:paraId="12001D10" w14:textId="77777777" w:rsidR="00270733" w:rsidRPr="00966547" w:rsidRDefault="00270733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100.00%</w:t>
            </w:r>
          </w:p>
        </w:tc>
      </w:tr>
    </w:tbl>
    <w:p w14:paraId="144FE613" w14:textId="77777777" w:rsidR="00966547" w:rsidRDefault="00966547" w:rsidP="00966547">
      <w:pPr>
        <w:rPr>
          <w:lang w:val="en-US"/>
        </w:rPr>
      </w:pPr>
    </w:p>
    <w:p w14:paraId="458D799C" w14:textId="49893EFB" w:rsidR="00EA481C" w:rsidRDefault="00966547" w:rsidP="00865EC0">
      <w:pPr>
        <w:spacing w:line="240" w:lineRule="auto"/>
        <w:rPr>
          <w:rFonts w:ascii="Calibri" w:hAnsi="Calibri" w:cs="Calibri"/>
          <w:sz w:val="20"/>
          <w:szCs w:val="20"/>
          <w:lang w:val="en-US"/>
        </w:rPr>
      </w:pPr>
      <w:r w:rsidRPr="00966547">
        <w:rPr>
          <w:b/>
          <w:lang w:val="en-US"/>
        </w:rPr>
        <w:t>*</w:t>
      </w:r>
      <w:r>
        <w:rPr>
          <w:b/>
          <w:lang w:val="en-US"/>
        </w:rPr>
        <w:t xml:space="preserve"> </w:t>
      </w:r>
      <w:r w:rsidR="001210D2" w:rsidRPr="0038793B">
        <w:rPr>
          <w:rFonts w:ascii="Calibri" w:hAnsi="Calibri" w:cs="Calibri"/>
          <w:sz w:val="20"/>
          <w:szCs w:val="20"/>
          <w:lang w:val="en-US"/>
        </w:rPr>
        <w:t>All other sub-categories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 include</w:t>
      </w:r>
      <w:r w:rsidR="001210D2" w:rsidRPr="0038793B">
        <w:rPr>
          <w:rFonts w:ascii="Calibri" w:hAnsi="Calibri" w:cs="Calibri"/>
          <w:sz w:val="20"/>
          <w:szCs w:val="20"/>
          <w:lang w:val="en-US"/>
        </w:rPr>
        <w:t xml:space="preserve"> the following query areas: 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 Entitlement to Health Services, </w:t>
      </w:r>
      <w:r w:rsidR="00270733">
        <w:rPr>
          <w:rFonts w:ascii="Calibri" w:hAnsi="Calibri" w:cs="Calibri"/>
          <w:sz w:val="20"/>
          <w:szCs w:val="20"/>
          <w:lang w:val="en-US"/>
        </w:rPr>
        <w:t>Cancer Services</w:t>
      </w:r>
      <w:r w:rsidRPr="0038793B">
        <w:rPr>
          <w:rFonts w:ascii="Calibri" w:hAnsi="Calibri" w:cs="Calibri"/>
          <w:sz w:val="20"/>
          <w:szCs w:val="20"/>
          <w:lang w:val="en-US"/>
        </w:rPr>
        <w:t>,</w:t>
      </w:r>
      <w:r w:rsidR="00351D72">
        <w:rPr>
          <w:rFonts w:ascii="Calibri" w:hAnsi="Calibri" w:cs="Calibri"/>
          <w:sz w:val="20"/>
          <w:szCs w:val="20"/>
          <w:lang w:val="en-US"/>
        </w:rPr>
        <w:t xml:space="preserve"> Health- related Benefits and Entitlements, </w:t>
      </w:r>
      <w:r w:rsidR="00351D72" w:rsidRPr="0038793B">
        <w:rPr>
          <w:rFonts w:ascii="Calibri" w:hAnsi="Calibri" w:cs="Calibri"/>
          <w:sz w:val="20"/>
          <w:szCs w:val="20"/>
          <w:lang w:val="en-US"/>
        </w:rPr>
        <w:t xml:space="preserve">Aids and Appliances, </w:t>
      </w:r>
      <w:r w:rsidR="00270733">
        <w:rPr>
          <w:rFonts w:ascii="Calibri" w:hAnsi="Calibri" w:cs="Calibri"/>
          <w:sz w:val="20"/>
          <w:szCs w:val="20"/>
          <w:lang w:val="en-US"/>
        </w:rPr>
        <w:t>Health Service Agencies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270733">
        <w:rPr>
          <w:rFonts w:ascii="Calibri" w:hAnsi="Calibri" w:cs="Calibri"/>
          <w:sz w:val="20"/>
          <w:szCs w:val="20"/>
          <w:lang w:val="en-US"/>
        </w:rPr>
        <w:t>Women’s Health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270733">
        <w:rPr>
          <w:rFonts w:ascii="Calibri" w:hAnsi="Calibri" w:cs="Calibri"/>
          <w:sz w:val="20"/>
          <w:szCs w:val="20"/>
          <w:lang w:val="en-US"/>
        </w:rPr>
        <w:t>Alcohol and Drug Treatment Services</w:t>
      </w:r>
      <w:r w:rsidRPr="0038793B">
        <w:rPr>
          <w:rFonts w:ascii="Calibri" w:hAnsi="Calibri" w:cs="Calibri"/>
          <w:sz w:val="20"/>
          <w:szCs w:val="20"/>
          <w:lang w:val="en-US"/>
        </w:rPr>
        <w:t>,</w:t>
      </w:r>
      <w:r w:rsidR="00351D72">
        <w:rPr>
          <w:rFonts w:ascii="Calibri" w:hAnsi="Calibri" w:cs="Calibri"/>
          <w:sz w:val="20"/>
          <w:szCs w:val="20"/>
          <w:lang w:val="en-US"/>
        </w:rPr>
        <w:t xml:space="preserve"> Emergency Health </w:t>
      </w:r>
      <w:r w:rsidR="003D0788">
        <w:rPr>
          <w:rFonts w:ascii="Calibri" w:hAnsi="Calibri" w:cs="Calibri"/>
          <w:sz w:val="20"/>
          <w:szCs w:val="20"/>
          <w:lang w:val="en-US"/>
        </w:rPr>
        <w:t>Services</w:t>
      </w:r>
      <w:r w:rsidR="003D0788" w:rsidRPr="0038793B">
        <w:rPr>
          <w:rFonts w:ascii="Calibri" w:hAnsi="Calibri" w:cs="Calibri"/>
          <w:sz w:val="20"/>
          <w:szCs w:val="20"/>
          <w:lang w:val="en-US"/>
        </w:rPr>
        <w:t>, How</w:t>
      </w:r>
      <w:r w:rsidR="00351D72">
        <w:rPr>
          <w:rFonts w:ascii="Calibri" w:hAnsi="Calibri" w:cs="Calibri"/>
          <w:sz w:val="20"/>
          <w:szCs w:val="20"/>
          <w:lang w:val="en-US"/>
        </w:rPr>
        <w:t xml:space="preserve"> Health Services are </w:t>
      </w:r>
      <w:r w:rsidR="00351D72" w:rsidRPr="00270733">
        <w:rPr>
          <w:rFonts w:ascii="Calibri" w:hAnsi="Calibri" w:cs="Calibri"/>
          <w:sz w:val="20"/>
          <w:szCs w:val="20"/>
        </w:rPr>
        <w:t>Organised</w:t>
      </w:r>
      <w:r w:rsidR="00351D72" w:rsidRPr="0038793B">
        <w:rPr>
          <w:rFonts w:ascii="Calibri" w:hAnsi="Calibri" w:cs="Calibri"/>
          <w:sz w:val="20"/>
          <w:szCs w:val="20"/>
          <w:lang w:val="en-US"/>
        </w:rPr>
        <w:t>,</w:t>
      </w:r>
      <w:r w:rsidR="00351D72" w:rsidRPr="00351D72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351D72" w:rsidRPr="0038793B">
        <w:rPr>
          <w:rFonts w:ascii="Calibri" w:hAnsi="Calibri" w:cs="Calibri"/>
          <w:sz w:val="20"/>
          <w:szCs w:val="20"/>
          <w:lang w:val="en-US"/>
        </w:rPr>
        <w:t>E</w:t>
      </w:r>
      <w:r w:rsidR="00351D72">
        <w:rPr>
          <w:rFonts w:ascii="Calibri" w:hAnsi="Calibri" w:cs="Calibri"/>
          <w:sz w:val="20"/>
          <w:szCs w:val="20"/>
          <w:lang w:val="en-US"/>
        </w:rPr>
        <w:t>nvironmental Health</w:t>
      </w:r>
      <w:r w:rsidR="00351D72" w:rsidRPr="0038793B">
        <w:rPr>
          <w:rFonts w:ascii="Calibri" w:hAnsi="Calibri" w:cs="Calibri"/>
          <w:sz w:val="20"/>
          <w:szCs w:val="20"/>
          <w:lang w:val="en-US"/>
        </w:rPr>
        <w:t>, Alternative Health</w:t>
      </w:r>
      <w:r w:rsidR="00351D72">
        <w:rPr>
          <w:rFonts w:ascii="Calibri" w:hAnsi="Calibri" w:cs="Calibri"/>
          <w:sz w:val="20"/>
          <w:szCs w:val="20"/>
          <w:lang w:val="en-US"/>
        </w:rPr>
        <w:t>,</w:t>
      </w:r>
      <w:r w:rsidR="00351D72" w:rsidRPr="0038793B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270733">
        <w:rPr>
          <w:rFonts w:ascii="Calibri" w:hAnsi="Calibri" w:cs="Calibri"/>
          <w:sz w:val="20"/>
          <w:szCs w:val="20"/>
          <w:lang w:val="en-US"/>
        </w:rPr>
        <w:t>Blood and Organ Donation</w:t>
      </w:r>
      <w:r w:rsidRPr="0038793B">
        <w:rPr>
          <w:rFonts w:ascii="Calibri" w:hAnsi="Calibri" w:cs="Calibri"/>
          <w:sz w:val="20"/>
          <w:szCs w:val="20"/>
          <w:lang w:val="en-US"/>
        </w:rPr>
        <w:t>, and</w:t>
      </w:r>
      <w:r w:rsidR="00351D72">
        <w:rPr>
          <w:rFonts w:ascii="Calibri" w:hAnsi="Calibri" w:cs="Calibri"/>
          <w:sz w:val="20"/>
          <w:szCs w:val="20"/>
          <w:lang w:val="en-US"/>
        </w:rPr>
        <w:t xml:space="preserve"> Pharmacy Services</w:t>
      </w:r>
      <w:r w:rsidR="005A3512" w:rsidRPr="0038793B">
        <w:rPr>
          <w:rFonts w:ascii="Calibri" w:hAnsi="Calibri" w:cs="Calibri"/>
          <w:sz w:val="20"/>
          <w:szCs w:val="20"/>
          <w:lang w:val="en-US"/>
        </w:rPr>
        <w:t>.</w:t>
      </w:r>
    </w:p>
    <w:p w14:paraId="56187C7E" w14:textId="78D14722" w:rsidR="00346CAC" w:rsidRPr="002F50AD" w:rsidRDefault="00346CAC" w:rsidP="00351D72">
      <w:pPr>
        <w:spacing w:line="259" w:lineRule="auto"/>
        <w:rPr>
          <w:rFonts w:ascii="Calibri" w:hAnsi="Calibri" w:cs="Calibri"/>
          <w:b/>
          <w:lang w:val="en-US"/>
        </w:rPr>
      </w:pPr>
    </w:p>
    <w:sectPr w:rsidR="00346CAC" w:rsidRPr="002F50AD" w:rsidSect="00681F13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38C28" w14:textId="77777777" w:rsidR="00977E6A" w:rsidRDefault="00977E6A" w:rsidP="00B60276">
      <w:pPr>
        <w:spacing w:after="0" w:line="240" w:lineRule="auto"/>
      </w:pPr>
      <w:r>
        <w:separator/>
      </w:r>
    </w:p>
  </w:endnote>
  <w:endnote w:type="continuationSeparator" w:id="0">
    <w:p w14:paraId="60D93507" w14:textId="77777777" w:rsidR="00977E6A" w:rsidRDefault="00977E6A" w:rsidP="00B60276">
      <w:pPr>
        <w:spacing w:after="0" w:line="240" w:lineRule="auto"/>
      </w:pPr>
      <w:r>
        <w:continuationSeparator/>
      </w:r>
    </w:p>
  </w:endnote>
  <w:endnote w:type="continuationNotice" w:id="1">
    <w:p w14:paraId="72FD14FE" w14:textId="77777777" w:rsidR="00977E6A" w:rsidRDefault="00977E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790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6BD61" w14:textId="2B62ABF1" w:rsidR="009A1E2E" w:rsidRDefault="009A1E2E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6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3BEEA1" w14:textId="77777777" w:rsidR="009A1E2E" w:rsidRDefault="009A1E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DABBA" w14:textId="77777777" w:rsidR="00977E6A" w:rsidRDefault="00977E6A" w:rsidP="00B60276">
      <w:pPr>
        <w:spacing w:after="0" w:line="240" w:lineRule="auto"/>
      </w:pPr>
      <w:r>
        <w:separator/>
      </w:r>
    </w:p>
  </w:footnote>
  <w:footnote w:type="continuationSeparator" w:id="0">
    <w:p w14:paraId="2A9E56BE" w14:textId="77777777" w:rsidR="00977E6A" w:rsidRDefault="00977E6A" w:rsidP="00B60276">
      <w:pPr>
        <w:spacing w:after="0" w:line="240" w:lineRule="auto"/>
      </w:pPr>
      <w:r>
        <w:continuationSeparator/>
      </w:r>
    </w:p>
  </w:footnote>
  <w:footnote w:type="continuationNotice" w:id="1">
    <w:p w14:paraId="20858776" w14:textId="77777777" w:rsidR="00977E6A" w:rsidRDefault="00977E6A">
      <w:pPr>
        <w:spacing w:after="0" w:line="240" w:lineRule="auto"/>
      </w:pPr>
    </w:p>
  </w:footnote>
  <w:footnote w:id="2">
    <w:p w14:paraId="1C637788" w14:textId="01F3E7C2" w:rsidR="009A1E2E" w:rsidRDefault="009A1E2E">
      <w:pPr>
        <w:pStyle w:val="FootnoteText"/>
      </w:pPr>
      <w:r>
        <w:rPr>
          <w:rStyle w:val="FootnoteReference"/>
        </w:rPr>
        <w:footnoteRef/>
      </w:r>
      <w:r>
        <w:t xml:space="preserve"> Note: Quarterly query trends are </w:t>
      </w:r>
      <w:r w:rsidRPr="00F81FD2">
        <w:rPr>
          <w:u w:val="single"/>
        </w:rPr>
        <w:t>not</w:t>
      </w:r>
      <w:r>
        <w:t xml:space="preserve"> indicative of trends for a full year’s dataset – changes and patterns reflected from quarter to quarter may balance out over a year. </w:t>
      </w:r>
    </w:p>
    <w:p w14:paraId="050EB574" w14:textId="28C0D9C4" w:rsidR="009A1E2E" w:rsidRDefault="009A1E2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24AAD"/>
    <w:multiLevelType w:val="hybridMultilevel"/>
    <w:tmpl w:val="D812C6C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4933"/>
    <w:multiLevelType w:val="hybridMultilevel"/>
    <w:tmpl w:val="EDB61C50"/>
    <w:lvl w:ilvl="0" w:tplc="1BCCE9B2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4992"/>
    <w:multiLevelType w:val="hybridMultilevel"/>
    <w:tmpl w:val="326A6E5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A64A6"/>
    <w:multiLevelType w:val="hybridMultilevel"/>
    <w:tmpl w:val="27DEB8A4"/>
    <w:lvl w:ilvl="0" w:tplc="71BA4930">
      <w:numFmt w:val="bullet"/>
      <w:lvlText w:val=""/>
      <w:lvlJc w:val="left"/>
      <w:pPr>
        <w:ind w:left="555" w:hanging="360"/>
      </w:pPr>
      <w:rPr>
        <w:rFonts w:ascii="Symbol" w:eastAsiaTheme="majorEastAsia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334639D5"/>
    <w:multiLevelType w:val="hybridMultilevel"/>
    <w:tmpl w:val="680E7118"/>
    <w:lvl w:ilvl="0" w:tplc="7742B6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065CC"/>
    <w:multiLevelType w:val="hybridMultilevel"/>
    <w:tmpl w:val="2056EB6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74D44"/>
    <w:multiLevelType w:val="hybridMultilevel"/>
    <w:tmpl w:val="2E9A3F76"/>
    <w:lvl w:ilvl="0" w:tplc="CE425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6C51574"/>
    <w:multiLevelType w:val="hybridMultilevel"/>
    <w:tmpl w:val="A2284A9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7606E"/>
    <w:multiLevelType w:val="hybridMultilevel"/>
    <w:tmpl w:val="21E23934"/>
    <w:lvl w:ilvl="0" w:tplc="9AA6490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F976975"/>
    <w:multiLevelType w:val="hybridMultilevel"/>
    <w:tmpl w:val="EC864F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F0C5D"/>
    <w:multiLevelType w:val="hybridMultilevel"/>
    <w:tmpl w:val="C848F0FE"/>
    <w:lvl w:ilvl="0" w:tplc="1156536C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E550E"/>
    <w:multiLevelType w:val="hybridMultilevel"/>
    <w:tmpl w:val="443E4948"/>
    <w:lvl w:ilvl="0" w:tplc="5B16DE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A2D90"/>
    <w:multiLevelType w:val="hybridMultilevel"/>
    <w:tmpl w:val="512C97E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813977">
    <w:abstractNumId w:val="8"/>
  </w:num>
  <w:num w:numId="2" w16cid:durableId="1072387909">
    <w:abstractNumId w:val="6"/>
  </w:num>
  <w:num w:numId="3" w16cid:durableId="1531723953">
    <w:abstractNumId w:val="0"/>
  </w:num>
  <w:num w:numId="4" w16cid:durableId="1730223440">
    <w:abstractNumId w:val="2"/>
  </w:num>
  <w:num w:numId="5" w16cid:durableId="1777753892">
    <w:abstractNumId w:val="7"/>
  </w:num>
  <w:num w:numId="6" w16cid:durableId="931401166">
    <w:abstractNumId w:val="9"/>
  </w:num>
  <w:num w:numId="7" w16cid:durableId="1108044505">
    <w:abstractNumId w:val="12"/>
  </w:num>
  <w:num w:numId="8" w16cid:durableId="1746486036">
    <w:abstractNumId w:val="11"/>
  </w:num>
  <w:num w:numId="9" w16cid:durableId="17775087">
    <w:abstractNumId w:val="5"/>
  </w:num>
  <w:num w:numId="10" w16cid:durableId="91973276">
    <w:abstractNumId w:val="1"/>
  </w:num>
  <w:num w:numId="11" w16cid:durableId="530190829">
    <w:abstractNumId w:val="10"/>
  </w:num>
  <w:num w:numId="12" w16cid:durableId="1991594188">
    <w:abstractNumId w:val="4"/>
  </w:num>
  <w:num w:numId="13" w16cid:durableId="1451052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wMTMzMrU0MrAwNjJQ0lEKTi0uzszPAykwrgUAlIv/VSwAAAA="/>
  </w:docVars>
  <w:rsids>
    <w:rsidRoot w:val="00AA4D85"/>
    <w:rsid w:val="0000072B"/>
    <w:rsid w:val="00000F7A"/>
    <w:rsid w:val="00001E54"/>
    <w:rsid w:val="000047DA"/>
    <w:rsid w:val="00004B7C"/>
    <w:rsid w:val="000137E1"/>
    <w:rsid w:val="00014A76"/>
    <w:rsid w:val="000155CD"/>
    <w:rsid w:val="00016EC0"/>
    <w:rsid w:val="00017FD5"/>
    <w:rsid w:val="00022929"/>
    <w:rsid w:val="00024A58"/>
    <w:rsid w:val="000377CA"/>
    <w:rsid w:val="00041720"/>
    <w:rsid w:val="0004374B"/>
    <w:rsid w:val="00045E4D"/>
    <w:rsid w:val="000469CD"/>
    <w:rsid w:val="00051061"/>
    <w:rsid w:val="0005177E"/>
    <w:rsid w:val="00053348"/>
    <w:rsid w:val="00054303"/>
    <w:rsid w:val="00054DC5"/>
    <w:rsid w:val="00055654"/>
    <w:rsid w:val="00057387"/>
    <w:rsid w:val="00057D7F"/>
    <w:rsid w:val="00072957"/>
    <w:rsid w:val="00076968"/>
    <w:rsid w:val="00077BA9"/>
    <w:rsid w:val="000831D6"/>
    <w:rsid w:val="00085425"/>
    <w:rsid w:val="00086049"/>
    <w:rsid w:val="00086128"/>
    <w:rsid w:val="00086782"/>
    <w:rsid w:val="00092A66"/>
    <w:rsid w:val="000A0320"/>
    <w:rsid w:val="000A6757"/>
    <w:rsid w:val="000A6DBE"/>
    <w:rsid w:val="000B6021"/>
    <w:rsid w:val="000C322C"/>
    <w:rsid w:val="000C6851"/>
    <w:rsid w:val="000D4E45"/>
    <w:rsid w:val="000D7AE9"/>
    <w:rsid w:val="000E4D40"/>
    <w:rsid w:val="000F1F54"/>
    <w:rsid w:val="000F369E"/>
    <w:rsid w:val="000F3F7D"/>
    <w:rsid w:val="000F6E79"/>
    <w:rsid w:val="00106D92"/>
    <w:rsid w:val="00112785"/>
    <w:rsid w:val="00115404"/>
    <w:rsid w:val="0011591D"/>
    <w:rsid w:val="00115D38"/>
    <w:rsid w:val="001210D2"/>
    <w:rsid w:val="00126AD3"/>
    <w:rsid w:val="00135E99"/>
    <w:rsid w:val="001408B9"/>
    <w:rsid w:val="00141FDD"/>
    <w:rsid w:val="001430A2"/>
    <w:rsid w:val="00143757"/>
    <w:rsid w:val="001456D4"/>
    <w:rsid w:val="00146ED0"/>
    <w:rsid w:val="00151717"/>
    <w:rsid w:val="001561BC"/>
    <w:rsid w:val="00157C1C"/>
    <w:rsid w:val="00161E72"/>
    <w:rsid w:val="0016241B"/>
    <w:rsid w:val="00163692"/>
    <w:rsid w:val="001673A7"/>
    <w:rsid w:val="00170C11"/>
    <w:rsid w:val="00171D94"/>
    <w:rsid w:val="00177DF7"/>
    <w:rsid w:val="00180F64"/>
    <w:rsid w:val="0018166B"/>
    <w:rsid w:val="00187ECE"/>
    <w:rsid w:val="00193734"/>
    <w:rsid w:val="00194B48"/>
    <w:rsid w:val="001A1A4D"/>
    <w:rsid w:val="001A7293"/>
    <w:rsid w:val="001D0045"/>
    <w:rsid w:val="001D1D44"/>
    <w:rsid w:val="001D27AB"/>
    <w:rsid w:val="001D2E9E"/>
    <w:rsid w:val="001F0770"/>
    <w:rsid w:val="001F0BA6"/>
    <w:rsid w:val="001F306B"/>
    <w:rsid w:val="001F3353"/>
    <w:rsid w:val="001F64A6"/>
    <w:rsid w:val="00203372"/>
    <w:rsid w:val="00203E25"/>
    <w:rsid w:val="0020681F"/>
    <w:rsid w:val="00210C39"/>
    <w:rsid w:val="00211E88"/>
    <w:rsid w:val="00212807"/>
    <w:rsid w:val="0021448C"/>
    <w:rsid w:val="00215C3B"/>
    <w:rsid w:val="002233AA"/>
    <w:rsid w:val="00234AF7"/>
    <w:rsid w:val="00242E0C"/>
    <w:rsid w:val="00243C8E"/>
    <w:rsid w:val="002467D2"/>
    <w:rsid w:val="00250D8C"/>
    <w:rsid w:val="00251C37"/>
    <w:rsid w:val="00255130"/>
    <w:rsid w:val="002555D1"/>
    <w:rsid w:val="00255AE4"/>
    <w:rsid w:val="00256F46"/>
    <w:rsid w:val="00260316"/>
    <w:rsid w:val="002608C0"/>
    <w:rsid w:val="0026179C"/>
    <w:rsid w:val="00261A00"/>
    <w:rsid w:val="00265925"/>
    <w:rsid w:val="00270733"/>
    <w:rsid w:val="00272099"/>
    <w:rsid w:val="00272525"/>
    <w:rsid w:val="00274148"/>
    <w:rsid w:val="00280463"/>
    <w:rsid w:val="002816B7"/>
    <w:rsid w:val="00296A32"/>
    <w:rsid w:val="002A1663"/>
    <w:rsid w:val="002A33D0"/>
    <w:rsid w:val="002C35F1"/>
    <w:rsid w:val="002C4588"/>
    <w:rsid w:val="002C4720"/>
    <w:rsid w:val="002C5B47"/>
    <w:rsid w:val="002D4A94"/>
    <w:rsid w:val="002E2253"/>
    <w:rsid w:val="002E38D9"/>
    <w:rsid w:val="002F150C"/>
    <w:rsid w:val="002F50AD"/>
    <w:rsid w:val="002F666E"/>
    <w:rsid w:val="002F75DD"/>
    <w:rsid w:val="00302613"/>
    <w:rsid w:val="00307868"/>
    <w:rsid w:val="00311090"/>
    <w:rsid w:val="003128CB"/>
    <w:rsid w:val="00322032"/>
    <w:rsid w:val="00326456"/>
    <w:rsid w:val="003269F0"/>
    <w:rsid w:val="00333C4F"/>
    <w:rsid w:val="00341D47"/>
    <w:rsid w:val="003433AB"/>
    <w:rsid w:val="00346904"/>
    <w:rsid w:val="00346CAC"/>
    <w:rsid w:val="00347F93"/>
    <w:rsid w:val="00351D72"/>
    <w:rsid w:val="00352248"/>
    <w:rsid w:val="00353DC5"/>
    <w:rsid w:val="00354D73"/>
    <w:rsid w:val="00361EF3"/>
    <w:rsid w:val="003640E9"/>
    <w:rsid w:val="00371D4E"/>
    <w:rsid w:val="00371F53"/>
    <w:rsid w:val="00380507"/>
    <w:rsid w:val="00383130"/>
    <w:rsid w:val="0038756F"/>
    <w:rsid w:val="0038793B"/>
    <w:rsid w:val="003962BF"/>
    <w:rsid w:val="003A50C6"/>
    <w:rsid w:val="003A6618"/>
    <w:rsid w:val="003B3D84"/>
    <w:rsid w:val="003B7A31"/>
    <w:rsid w:val="003C36C5"/>
    <w:rsid w:val="003C671A"/>
    <w:rsid w:val="003D0788"/>
    <w:rsid w:val="003D77C9"/>
    <w:rsid w:val="003E2EB3"/>
    <w:rsid w:val="003E6033"/>
    <w:rsid w:val="00407318"/>
    <w:rsid w:val="00412E64"/>
    <w:rsid w:val="00413B36"/>
    <w:rsid w:val="00415421"/>
    <w:rsid w:val="004267EC"/>
    <w:rsid w:val="004272D5"/>
    <w:rsid w:val="004372A3"/>
    <w:rsid w:val="0044140F"/>
    <w:rsid w:val="00451327"/>
    <w:rsid w:val="00454FB6"/>
    <w:rsid w:val="0045556A"/>
    <w:rsid w:val="0045628F"/>
    <w:rsid w:val="00457FBB"/>
    <w:rsid w:val="00463499"/>
    <w:rsid w:val="0047215D"/>
    <w:rsid w:val="00475106"/>
    <w:rsid w:val="004770F4"/>
    <w:rsid w:val="0047749B"/>
    <w:rsid w:val="00480671"/>
    <w:rsid w:val="0048567D"/>
    <w:rsid w:val="004917B9"/>
    <w:rsid w:val="0049247F"/>
    <w:rsid w:val="0049266B"/>
    <w:rsid w:val="00494234"/>
    <w:rsid w:val="004974FE"/>
    <w:rsid w:val="00497790"/>
    <w:rsid w:val="004A3F48"/>
    <w:rsid w:val="004B1051"/>
    <w:rsid w:val="004C6FFA"/>
    <w:rsid w:val="004D2275"/>
    <w:rsid w:val="004D412D"/>
    <w:rsid w:val="004D5540"/>
    <w:rsid w:val="004D75AB"/>
    <w:rsid w:val="004D7EC2"/>
    <w:rsid w:val="004F7018"/>
    <w:rsid w:val="00501D3C"/>
    <w:rsid w:val="00505FE9"/>
    <w:rsid w:val="00512CE3"/>
    <w:rsid w:val="00514E7F"/>
    <w:rsid w:val="00515F2C"/>
    <w:rsid w:val="005234B9"/>
    <w:rsid w:val="00524A0E"/>
    <w:rsid w:val="00527B60"/>
    <w:rsid w:val="0053040E"/>
    <w:rsid w:val="00533048"/>
    <w:rsid w:val="00535BC9"/>
    <w:rsid w:val="00537AD6"/>
    <w:rsid w:val="005447EF"/>
    <w:rsid w:val="00546662"/>
    <w:rsid w:val="005467C3"/>
    <w:rsid w:val="005476B0"/>
    <w:rsid w:val="005654D8"/>
    <w:rsid w:val="005674F0"/>
    <w:rsid w:val="00570DAA"/>
    <w:rsid w:val="0057535E"/>
    <w:rsid w:val="00575481"/>
    <w:rsid w:val="005758C3"/>
    <w:rsid w:val="00577C9A"/>
    <w:rsid w:val="005840C1"/>
    <w:rsid w:val="005854F7"/>
    <w:rsid w:val="00587D7B"/>
    <w:rsid w:val="00591463"/>
    <w:rsid w:val="00593577"/>
    <w:rsid w:val="00593B45"/>
    <w:rsid w:val="00595173"/>
    <w:rsid w:val="0059543A"/>
    <w:rsid w:val="005A3512"/>
    <w:rsid w:val="005A376D"/>
    <w:rsid w:val="005A640A"/>
    <w:rsid w:val="005A7BF0"/>
    <w:rsid w:val="005B02B9"/>
    <w:rsid w:val="005B6E91"/>
    <w:rsid w:val="005C4189"/>
    <w:rsid w:val="005C5760"/>
    <w:rsid w:val="005D1AFC"/>
    <w:rsid w:val="005D1F7B"/>
    <w:rsid w:val="005D5240"/>
    <w:rsid w:val="005E597E"/>
    <w:rsid w:val="005F2255"/>
    <w:rsid w:val="005F46D4"/>
    <w:rsid w:val="00600A04"/>
    <w:rsid w:val="00604C75"/>
    <w:rsid w:val="00614644"/>
    <w:rsid w:val="006210C5"/>
    <w:rsid w:val="006254B5"/>
    <w:rsid w:val="006311CA"/>
    <w:rsid w:val="0063600B"/>
    <w:rsid w:val="0064460B"/>
    <w:rsid w:val="00653E3E"/>
    <w:rsid w:val="0065642F"/>
    <w:rsid w:val="006678BB"/>
    <w:rsid w:val="00673AF1"/>
    <w:rsid w:val="00675757"/>
    <w:rsid w:val="0067604C"/>
    <w:rsid w:val="00681F13"/>
    <w:rsid w:val="0068421E"/>
    <w:rsid w:val="00684A3D"/>
    <w:rsid w:val="00686741"/>
    <w:rsid w:val="00687D8C"/>
    <w:rsid w:val="00690754"/>
    <w:rsid w:val="006919EE"/>
    <w:rsid w:val="00691F11"/>
    <w:rsid w:val="006962CB"/>
    <w:rsid w:val="006B032E"/>
    <w:rsid w:val="006B087E"/>
    <w:rsid w:val="006B1390"/>
    <w:rsid w:val="006B1739"/>
    <w:rsid w:val="006C40C8"/>
    <w:rsid w:val="006C424B"/>
    <w:rsid w:val="006C7366"/>
    <w:rsid w:val="006D36C7"/>
    <w:rsid w:val="006D39BB"/>
    <w:rsid w:val="006D3BA1"/>
    <w:rsid w:val="006D5D70"/>
    <w:rsid w:val="006E10B5"/>
    <w:rsid w:val="006E2A88"/>
    <w:rsid w:val="006F1EAB"/>
    <w:rsid w:val="006F4173"/>
    <w:rsid w:val="006F61DD"/>
    <w:rsid w:val="006F67A0"/>
    <w:rsid w:val="00705F40"/>
    <w:rsid w:val="007076F4"/>
    <w:rsid w:val="007078D3"/>
    <w:rsid w:val="00711361"/>
    <w:rsid w:val="0072620C"/>
    <w:rsid w:val="007300BD"/>
    <w:rsid w:val="007360A2"/>
    <w:rsid w:val="007364D7"/>
    <w:rsid w:val="007423BD"/>
    <w:rsid w:val="00744482"/>
    <w:rsid w:val="00744C0D"/>
    <w:rsid w:val="00746E9A"/>
    <w:rsid w:val="00750CA4"/>
    <w:rsid w:val="007572B3"/>
    <w:rsid w:val="0076273D"/>
    <w:rsid w:val="007635FB"/>
    <w:rsid w:val="007646F8"/>
    <w:rsid w:val="00772796"/>
    <w:rsid w:val="0077438A"/>
    <w:rsid w:val="00777788"/>
    <w:rsid w:val="00790DA9"/>
    <w:rsid w:val="0079221E"/>
    <w:rsid w:val="00793EFC"/>
    <w:rsid w:val="00795A49"/>
    <w:rsid w:val="00796063"/>
    <w:rsid w:val="00797863"/>
    <w:rsid w:val="007A0B1F"/>
    <w:rsid w:val="007A761D"/>
    <w:rsid w:val="007B3E6B"/>
    <w:rsid w:val="007B6FE3"/>
    <w:rsid w:val="007C7B80"/>
    <w:rsid w:val="007D31CB"/>
    <w:rsid w:val="007E1D36"/>
    <w:rsid w:val="007E5A35"/>
    <w:rsid w:val="007F225E"/>
    <w:rsid w:val="00801909"/>
    <w:rsid w:val="0080231C"/>
    <w:rsid w:val="008067B1"/>
    <w:rsid w:val="00811429"/>
    <w:rsid w:val="00822CD0"/>
    <w:rsid w:val="00827FFD"/>
    <w:rsid w:val="00831A1B"/>
    <w:rsid w:val="00834785"/>
    <w:rsid w:val="00835CDA"/>
    <w:rsid w:val="00840484"/>
    <w:rsid w:val="00853B85"/>
    <w:rsid w:val="00855000"/>
    <w:rsid w:val="00860ADD"/>
    <w:rsid w:val="00863F32"/>
    <w:rsid w:val="00865EC0"/>
    <w:rsid w:val="00872CF0"/>
    <w:rsid w:val="00873035"/>
    <w:rsid w:val="00874CA6"/>
    <w:rsid w:val="00874F43"/>
    <w:rsid w:val="00875EB2"/>
    <w:rsid w:val="00876C5D"/>
    <w:rsid w:val="00877436"/>
    <w:rsid w:val="008839F4"/>
    <w:rsid w:val="00884628"/>
    <w:rsid w:val="008A5345"/>
    <w:rsid w:val="008A55C9"/>
    <w:rsid w:val="008A5795"/>
    <w:rsid w:val="008B2863"/>
    <w:rsid w:val="008B3C99"/>
    <w:rsid w:val="008B5C1E"/>
    <w:rsid w:val="008B6A43"/>
    <w:rsid w:val="008C0CB5"/>
    <w:rsid w:val="008C2567"/>
    <w:rsid w:val="008C46B1"/>
    <w:rsid w:val="008C6773"/>
    <w:rsid w:val="008D0484"/>
    <w:rsid w:val="008D3958"/>
    <w:rsid w:val="008D3CA6"/>
    <w:rsid w:val="008D5E8F"/>
    <w:rsid w:val="008D6850"/>
    <w:rsid w:val="008E017C"/>
    <w:rsid w:val="008E06C1"/>
    <w:rsid w:val="008E4436"/>
    <w:rsid w:val="008E5DE1"/>
    <w:rsid w:val="008E7552"/>
    <w:rsid w:val="008F04DB"/>
    <w:rsid w:val="008F4A89"/>
    <w:rsid w:val="008F7092"/>
    <w:rsid w:val="008F77BD"/>
    <w:rsid w:val="00913103"/>
    <w:rsid w:val="00915EF0"/>
    <w:rsid w:val="00917306"/>
    <w:rsid w:val="00926991"/>
    <w:rsid w:val="00930706"/>
    <w:rsid w:val="00931295"/>
    <w:rsid w:val="0093158B"/>
    <w:rsid w:val="0093791E"/>
    <w:rsid w:val="009455DF"/>
    <w:rsid w:val="00946F6A"/>
    <w:rsid w:val="00955F89"/>
    <w:rsid w:val="00955FFF"/>
    <w:rsid w:val="00956490"/>
    <w:rsid w:val="00960ADB"/>
    <w:rsid w:val="009627F6"/>
    <w:rsid w:val="00965A1B"/>
    <w:rsid w:val="00966547"/>
    <w:rsid w:val="00966578"/>
    <w:rsid w:val="00972FE7"/>
    <w:rsid w:val="00976E71"/>
    <w:rsid w:val="00977765"/>
    <w:rsid w:val="00977E6A"/>
    <w:rsid w:val="0098628F"/>
    <w:rsid w:val="00987571"/>
    <w:rsid w:val="00990363"/>
    <w:rsid w:val="00991ED5"/>
    <w:rsid w:val="009A1E2E"/>
    <w:rsid w:val="009A36D8"/>
    <w:rsid w:val="009A53A2"/>
    <w:rsid w:val="009A586F"/>
    <w:rsid w:val="009A5E19"/>
    <w:rsid w:val="009A6F84"/>
    <w:rsid w:val="009B1921"/>
    <w:rsid w:val="009B1D82"/>
    <w:rsid w:val="009B29AB"/>
    <w:rsid w:val="009B4FB0"/>
    <w:rsid w:val="009B6C55"/>
    <w:rsid w:val="009B6FF8"/>
    <w:rsid w:val="009C1D1B"/>
    <w:rsid w:val="009C33A2"/>
    <w:rsid w:val="009E03D2"/>
    <w:rsid w:val="009F073C"/>
    <w:rsid w:val="009F1135"/>
    <w:rsid w:val="009F2932"/>
    <w:rsid w:val="009F4808"/>
    <w:rsid w:val="009F63D0"/>
    <w:rsid w:val="009F685D"/>
    <w:rsid w:val="00A007ED"/>
    <w:rsid w:val="00A06D9C"/>
    <w:rsid w:val="00A10491"/>
    <w:rsid w:val="00A14853"/>
    <w:rsid w:val="00A14E17"/>
    <w:rsid w:val="00A15B09"/>
    <w:rsid w:val="00A2717D"/>
    <w:rsid w:val="00A339E6"/>
    <w:rsid w:val="00A35B80"/>
    <w:rsid w:val="00A370D4"/>
    <w:rsid w:val="00A40E17"/>
    <w:rsid w:val="00A40E6C"/>
    <w:rsid w:val="00A42EBC"/>
    <w:rsid w:val="00A51866"/>
    <w:rsid w:val="00A53638"/>
    <w:rsid w:val="00A60A91"/>
    <w:rsid w:val="00A6407E"/>
    <w:rsid w:val="00A65824"/>
    <w:rsid w:val="00A66C4F"/>
    <w:rsid w:val="00A800C3"/>
    <w:rsid w:val="00A81735"/>
    <w:rsid w:val="00A81C41"/>
    <w:rsid w:val="00A82616"/>
    <w:rsid w:val="00A84098"/>
    <w:rsid w:val="00A8424A"/>
    <w:rsid w:val="00A8699E"/>
    <w:rsid w:val="00A90598"/>
    <w:rsid w:val="00A941B3"/>
    <w:rsid w:val="00A942AA"/>
    <w:rsid w:val="00AA1981"/>
    <w:rsid w:val="00AA2FF4"/>
    <w:rsid w:val="00AA4D85"/>
    <w:rsid w:val="00AB1326"/>
    <w:rsid w:val="00AB17B0"/>
    <w:rsid w:val="00AD338F"/>
    <w:rsid w:val="00AD6A3F"/>
    <w:rsid w:val="00AE36E6"/>
    <w:rsid w:val="00AE3E93"/>
    <w:rsid w:val="00AE3F23"/>
    <w:rsid w:val="00AE5901"/>
    <w:rsid w:val="00AF12B8"/>
    <w:rsid w:val="00AF5BBD"/>
    <w:rsid w:val="00B06873"/>
    <w:rsid w:val="00B0773A"/>
    <w:rsid w:val="00B12326"/>
    <w:rsid w:val="00B16E92"/>
    <w:rsid w:val="00B21729"/>
    <w:rsid w:val="00B3294A"/>
    <w:rsid w:val="00B50688"/>
    <w:rsid w:val="00B50DBF"/>
    <w:rsid w:val="00B51BD8"/>
    <w:rsid w:val="00B561A4"/>
    <w:rsid w:val="00B60276"/>
    <w:rsid w:val="00B62F1E"/>
    <w:rsid w:val="00B64719"/>
    <w:rsid w:val="00B64BAD"/>
    <w:rsid w:val="00B67C2A"/>
    <w:rsid w:val="00B73528"/>
    <w:rsid w:val="00B74229"/>
    <w:rsid w:val="00B811B4"/>
    <w:rsid w:val="00B84298"/>
    <w:rsid w:val="00B847DF"/>
    <w:rsid w:val="00B86ACB"/>
    <w:rsid w:val="00B90E4D"/>
    <w:rsid w:val="00B91481"/>
    <w:rsid w:val="00BA1496"/>
    <w:rsid w:val="00BA2635"/>
    <w:rsid w:val="00BA4524"/>
    <w:rsid w:val="00BB0833"/>
    <w:rsid w:val="00BB4668"/>
    <w:rsid w:val="00BB5F29"/>
    <w:rsid w:val="00BC0727"/>
    <w:rsid w:val="00BC1A18"/>
    <w:rsid w:val="00BC66BF"/>
    <w:rsid w:val="00BD4F8D"/>
    <w:rsid w:val="00BE0361"/>
    <w:rsid w:val="00BE07BC"/>
    <w:rsid w:val="00BE1CDE"/>
    <w:rsid w:val="00C04A02"/>
    <w:rsid w:val="00C0783D"/>
    <w:rsid w:val="00C07D6C"/>
    <w:rsid w:val="00C1356E"/>
    <w:rsid w:val="00C13EF4"/>
    <w:rsid w:val="00C15BD2"/>
    <w:rsid w:val="00C16DAD"/>
    <w:rsid w:val="00C228BC"/>
    <w:rsid w:val="00C22B32"/>
    <w:rsid w:val="00C3193C"/>
    <w:rsid w:val="00C34B69"/>
    <w:rsid w:val="00C4011C"/>
    <w:rsid w:val="00C41D22"/>
    <w:rsid w:val="00C43171"/>
    <w:rsid w:val="00C5330D"/>
    <w:rsid w:val="00C63E75"/>
    <w:rsid w:val="00C668A1"/>
    <w:rsid w:val="00C826C9"/>
    <w:rsid w:val="00C82B13"/>
    <w:rsid w:val="00C91D7C"/>
    <w:rsid w:val="00C93CD9"/>
    <w:rsid w:val="00C94637"/>
    <w:rsid w:val="00C9539E"/>
    <w:rsid w:val="00CB1A57"/>
    <w:rsid w:val="00CB303B"/>
    <w:rsid w:val="00CB524F"/>
    <w:rsid w:val="00CC048B"/>
    <w:rsid w:val="00CC168B"/>
    <w:rsid w:val="00CD1EE4"/>
    <w:rsid w:val="00CD4482"/>
    <w:rsid w:val="00CE32BB"/>
    <w:rsid w:val="00CE6B6D"/>
    <w:rsid w:val="00CE6D4C"/>
    <w:rsid w:val="00CF2862"/>
    <w:rsid w:val="00CF2890"/>
    <w:rsid w:val="00CF3442"/>
    <w:rsid w:val="00CF3602"/>
    <w:rsid w:val="00CF48A6"/>
    <w:rsid w:val="00CF5FB2"/>
    <w:rsid w:val="00CF73AB"/>
    <w:rsid w:val="00D03A4F"/>
    <w:rsid w:val="00D134D9"/>
    <w:rsid w:val="00D14136"/>
    <w:rsid w:val="00D20874"/>
    <w:rsid w:val="00D23717"/>
    <w:rsid w:val="00D23B8F"/>
    <w:rsid w:val="00D25740"/>
    <w:rsid w:val="00D34567"/>
    <w:rsid w:val="00D34C4C"/>
    <w:rsid w:val="00D407A8"/>
    <w:rsid w:val="00D416D4"/>
    <w:rsid w:val="00D45FE9"/>
    <w:rsid w:val="00D55652"/>
    <w:rsid w:val="00D60090"/>
    <w:rsid w:val="00D61A06"/>
    <w:rsid w:val="00D67230"/>
    <w:rsid w:val="00D80C85"/>
    <w:rsid w:val="00D82C65"/>
    <w:rsid w:val="00D8664C"/>
    <w:rsid w:val="00D9081B"/>
    <w:rsid w:val="00D92861"/>
    <w:rsid w:val="00D93AC6"/>
    <w:rsid w:val="00D93AD8"/>
    <w:rsid w:val="00D94AFA"/>
    <w:rsid w:val="00DA5AA6"/>
    <w:rsid w:val="00DA7612"/>
    <w:rsid w:val="00DB3B4E"/>
    <w:rsid w:val="00DC0649"/>
    <w:rsid w:val="00DE397A"/>
    <w:rsid w:val="00DE6AE8"/>
    <w:rsid w:val="00E011A8"/>
    <w:rsid w:val="00E105C2"/>
    <w:rsid w:val="00E15D9E"/>
    <w:rsid w:val="00E23A75"/>
    <w:rsid w:val="00E26CC4"/>
    <w:rsid w:val="00E34400"/>
    <w:rsid w:val="00E35B72"/>
    <w:rsid w:val="00E41486"/>
    <w:rsid w:val="00E4492D"/>
    <w:rsid w:val="00E468FE"/>
    <w:rsid w:val="00E501E0"/>
    <w:rsid w:val="00E56D2E"/>
    <w:rsid w:val="00E57055"/>
    <w:rsid w:val="00E57D2F"/>
    <w:rsid w:val="00E62D52"/>
    <w:rsid w:val="00E64426"/>
    <w:rsid w:val="00E652CE"/>
    <w:rsid w:val="00E65814"/>
    <w:rsid w:val="00E65C63"/>
    <w:rsid w:val="00E71FCC"/>
    <w:rsid w:val="00E7397C"/>
    <w:rsid w:val="00E85BCF"/>
    <w:rsid w:val="00E873A0"/>
    <w:rsid w:val="00E91770"/>
    <w:rsid w:val="00E91B04"/>
    <w:rsid w:val="00E934BC"/>
    <w:rsid w:val="00E93509"/>
    <w:rsid w:val="00E9714B"/>
    <w:rsid w:val="00EA481C"/>
    <w:rsid w:val="00EA7249"/>
    <w:rsid w:val="00EA7C91"/>
    <w:rsid w:val="00EB02E2"/>
    <w:rsid w:val="00EC1142"/>
    <w:rsid w:val="00EC16C3"/>
    <w:rsid w:val="00EC24A6"/>
    <w:rsid w:val="00EC3D7A"/>
    <w:rsid w:val="00EC3FE7"/>
    <w:rsid w:val="00EC7AA7"/>
    <w:rsid w:val="00ED0361"/>
    <w:rsid w:val="00ED0D5E"/>
    <w:rsid w:val="00ED1E29"/>
    <w:rsid w:val="00EE22FE"/>
    <w:rsid w:val="00EF13B9"/>
    <w:rsid w:val="00EF49AC"/>
    <w:rsid w:val="00F07001"/>
    <w:rsid w:val="00F07155"/>
    <w:rsid w:val="00F12712"/>
    <w:rsid w:val="00F14F7A"/>
    <w:rsid w:val="00F16B5F"/>
    <w:rsid w:val="00F1726B"/>
    <w:rsid w:val="00F21355"/>
    <w:rsid w:val="00F25DEC"/>
    <w:rsid w:val="00F32561"/>
    <w:rsid w:val="00F378A9"/>
    <w:rsid w:val="00F40FAD"/>
    <w:rsid w:val="00F4560C"/>
    <w:rsid w:val="00F574C0"/>
    <w:rsid w:val="00F61FC4"/>
    <w:rsid w:val="00F65814"/>
    <w:rsid w:val="00F70641"/>
    <w:rsid w:val="00F7078F"/>
    <w:rsid w:val="00F74C68"/>
    <w:rsid w:val="00F80B27"/>
    <w:rsid w:val="00F81FD2"/>
    <w:rsid w:val="00F8329F"/>
    <w:rsid w:val="00F84912"/>
    <w:rsid w:val="00F87243"/>
    <w:rsid w:val="00F91BF2"/>
    <w:rsid w:val="00F923F1"/>
    <w:rsid w:val="00F95A80"/>
    <w:rsid w:val="00F96538"/>
    <w:rsid w:val="00FA5136"/>
    <w:rsid w:val="00FA5BB5"/>
    <w:rsid w:val="00FB5B72"/>
    <w:rsid w:val="00FB621B"/>
    <w:rsid w:val="00FC3DD1"/>
    <w:rsid w:val="00FC46FE"/>
    <w:rsid w:val="00FC66EE"/>
    <w:rsid w:val="00FD11E5"/>
    <w:rsid w:val="00FD51DC"/>
    <w:rsid w:val="00FD7261"/>
    <w:rsid w:val="00FD741A"/>
    <w:rsid w:val="00FD7CB1"/>
    <w:rsid w:val="00FD7FE5"/>
    <w:rsid w:val="00FE1660"/>
    <w:rsid w:val="00FE478F"/>
    <w:rsid w:val="00FE5664"/>
    <w:rsid w:val="00FF5A8E"/>
    <w:rsid w:val="4EE30786"/>
    <w:rsid w:val="657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DF31"/>
  <w15:docId w15:val="{1F851395-321B-41B2-94AB-9D465059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7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0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71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2371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17"/>
    <w:rPr>
      <w:b/>
      <w:bCs/>
    </w:rPr>
  </w:style>
  <w:style w:type="character" w:styleId="Emphasis">
    <w:name w:val="Emphasis"/>
    <w:basedOn w:val="DefaultParagraphFont"/>
    <w:uiPriority w:val="20"/>
    <w:qFormat/>
    <w:rsid w:val="00D2371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027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60276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60276"/>
    <w:rPr>
      <w:rFonts w:asciiTheme="majorHAnsi" w:eastAsiaTheme="majorEastAsia" w:hAnsiTheme="majorHAnsi" w:cstheme="majorBidi"/>
      <w:color w:val="1481AB" w:themeColor="accent1" w:themeShade="BF"/>
    </w:rPr>
  </w:style>
  <w:style w:type="table" w:styleId="GridTable6ColourfulAccent5">
    <w:name w:val="Grid Table 6 Colorful Accent 5"/>
    <w:basedOn w:val="TableNormal"/>
    <w:uiPriority w:val="51"/>
    <w:rsid w:val="00B60276"/>
    <w:pPr>
      <w:spacing w:after="0" w:line="240" w:lineRule="auto"/>
    </w:pPr>
    <w:rPr>
      <w:rFonts w:ascii="Calibri" w:hAnsi="Calibri" w:cs="Calibri"/>
      <w:color w:val="2E653E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B60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276"/>
  </w:style>
  <w:style w:type="paragraph" w:styleId="Footer">
    <w:name w:val="footer"/>
    <w:basedOn w:val="Normal"/>
    <w:link w:val="FooterChar"/>
    <w:uiPriority w:val="99"/>
    <w:unhideWhenUsed/>
    <w:rsid w:val="00B60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276"/>
  </w:style>
  <w:style w:type="paragraph" w:styleId="BalloonText">
    <w:name w:val="Balloon Text"/>
    <w:basedOn w:val="Normal"/>
    <w:link w:val="BalloonTextChar"/>
    <w:uiPriority w:val="99"/>
    <w:semiHidden/>
    <w:unhideWhenUsed/>
    <w:rsid w:val="00B6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0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2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027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02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02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0276"/>
    <w:rPr>
      <w:vertAlign w:val="superscript"/>
    </w:rPr>
  </w:style>
  <w:style w:type="table" w:styleId="TableGrid">
    <w:name w:val="Table Grid"/>
    <w:basedOn w:val="TableNormal"/>
    <w:uiPriority w:val="39"/>
    <w:rsid w:val="0045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413B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character" w:customStyle="1" w:styleId="cf01">
    <w:name w:val="cf01"/>
    <w:basedOn w:val="DefaultParagraphFont"/>
    <w:rsid w:val="008067B1"/>
    <w:rPr>
      <w:rFonts w:ascii="Segoe UI" w:hAnsi="Segoe UI" w:cs="Segoe UI" w:hint="default"/>
      <w:sz w:val="18"/>
      <w:szCs w:val="18"/>
    </w:rPr>
  </w:style>
  <w:style w:type="table" w:styleId="ListTable5Dark-Accent6">
    <w:name w:val="List Table 5 Dark Accent 6"/>
    <w:basedOn w:val="TableNormal"/>
    <w:uiPriority w:val="50"/>
    <w:rsid w:val="00E971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lena.kelly\Documents\Q1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Time</a:t>
            </a:r>
            <a:r>
              <a:rPr lang="en-US" baseline="0"/>
              <a:t> Spent with callers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'Q1 2023'!$B$73</c:f>
              <c:strCache>
                <c:ptCount val="1"/>
                <c:pt idx="0">
                  <c:v>Number of Callers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'Q1 2023'!$A$74:$A$78</c:f>
              <c:strCache>
                <c:ptCount val="5"/>
                <c:pt idx="0">
                  <c:v>10 minutes and under</c:v>
                </c:pt>
                <c:pt idx="1">
                  <c:v>11-20 minutes</c:v>
                </c:pt>
                <c:pt idx="2">
                  <c:v>21-40 minutes</c:v>
                </c:pt>
                <c:pt idx="3">
                  <c:v>41-90 minutes</c:v>
                </c:pt>
                <c:pt idx="4">
                  <c:v>91 minutes and  Over</c:v>
                </c:pt>
              </c:strCache>
            </c:strRef>
          </c:cat>
          <c:val>
            <c:numRef>
              <c:f>'Q1 2023'!$B$74:$B$78</c:f>
              <c:numCache>
                <c:formatCode>#,##0</c:formatCode>
                <c:ptCount val="5"/>
                <c:pt idx="0">
                  <c:v>47314</c:v>
                </c:pt>
                <c:pt idx="1">
                  <c:v>39074</c:v>
                </c:pt>
                <c:pt idx="2">
                  <c:v>16103</c:v>
                </c:pt>
                <c:pt idx="3">
                  <c:v>3397</c:v>
                </c:pt>
                <c:pt idx="4">
                  <c:v>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DF-4AAC-8A5E-FE286BB6BB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971536"/>
        <c:axId val="55959536"/>
      </c:barChart>
      <c:catAx>
        <c:axId val="5597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959536"/>
        <c:crosses val="autoZero"/>
        <c:auto val="1"/>
        <c:lblAlgn val="ctr"/>
        <c:lblOffset val="100"/>
        <c:noMultiLvlLbl val="0"/>
      </c:catAx>
      <c:valAx>
        <c:axId val="5595953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97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1" ma:contentTypeDescription="Create a new document for eDocs" ma:contentTypeScope="" ma:versionID="508d61dfd8538d695815f41d1ef81294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9c520a9dbea12e0c0cd0d2fa3218fbfb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107ae17d-263b-4385-8fe1-9fa02a3cdf61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CIB042-004-2022</eDocs_FileName>
    <TaxCatchAll xmlns="ff212c30-0135-4bf2-b188-6a120996ec0f">
      <Value>4</Value>
      <Value>9</Value>
      <Value>8</Value>
      <Value>1</Value>
    </TaxCatchAll>
    <_dlc_ExpireDateSaved xmlns="http://schemas.microsoft.com/sharepoint/v3" xsi:nil="true"/>
    <_dlc_ExpireDate xmlns="http://schemas.microsoft.com/sharepoint/v3">2022-04-17T15:43:03+00:00</_dlc_ExpireDa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af75108-b173-4f98-8144-e637f7666192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FA7C2545-ACBB-403D-98E8-139C1F249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7BC5E-BBFB-4EB8-831A-706D3043F6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EFD787-EC91-4ED9-A76F-BF211C433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E89BA-E7B6-4F83-BF3B-61A980DF1DFE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customXml/itemProps5.xml><?xml version="1.0" encoding="utf-8"?>
<ds:datastoreItem xmlns:ds="http://schemas.openxmlformats.org/officeDocument/2006/customXml" ds:itemID="{7CB45ECD-4CB1-4A1C-AE82-26AF50F03D6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39395F7-A478-4B77-A514-7F12E310086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4880</Words>
  <Characters>27821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 1 2022 Statistical Summary Report with datasets for the three main categories with the highest query numbers.</vt:lpstr>
    </vt:vector>
  </TitlesOfParts>
  <Company/>
  <LinksUpToDate>false</LinksUpToDate>
  <CharactersWithSpaces>32636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 1 2022 Statistical Summary Report with datasets for the three main categories with the highest query numbers.</dc:title>
  <dc:subject>Statistical summary of caller and query data for quarter 1 2022</dc:subject>
  <dc:creator>Sarah Togher</dc:creator>
  <cp:keywords>Statistical Summary Report</cp:keywords>
  <dc:description/>
  <cp:lastModifiedBy>Elena Kelly</cp:lastModifiedBy>
  <cp:revision>1</cp:revision>
  <cp:lastPrinted>2023-04-18T13:08:00Z</cp:lastPrinted>
  <dcterms:created xsi:type="dcterms:W3CDTF">2024-08-14T08:39:00Z</dcterms:created>
  <dcterms:modified xsi:type="dcterms:W3CDTF">2024-08-15T16:56:00Z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Year">
    <vt:lpwstr>9;#2022|107ae17d-263b-4385-8fe1-9fa02a3cdf61</vt:lpwstr>
  </property>
  <property fmtid="{D5CDD505-2E9C-101B-9397-08002B2CF9AE}" pid="5" name="eDocs_SeriesSubSeries">
    <vt:lpwstr>4;#042|3c96f07b-1152-4d2e-8a69-d6b60d1fab17</vt:lpwstr>
  </property>
  <property fmtid="{D5CDD505-2E9C-101B-9397-08002B2CF9AE}" pid="6" name="eDocs_SecurityClassificationTaxHTField0">
    <vt:lpwstr>Unclassified|13b0a387-28e5-4d0e-ba93-bfbfb7bc32d7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1;#Unclassified|13b0a387-28e5-4d0e-ba93-bfbfb7bc32d7</vt:lpwstr>
  </property>
  <property fmtid="{D5CDD505-2E9C-101B-9397-08002B2CF9AE}" pid="10" name="eDocs_DocumentTopics">
    <vt:lpwstr/>
  </property>
</Properties>
</file>